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Para1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33730"/>
            <wp:effectExtent l="2035" t="706" r="7368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3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5"/>
      </w:pPr>
    </w:p>
    <w:p>
      <w:pPr>
        <w:pStyle w:val="Para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7"/>
      </w:pPr>
    </w:p>
    <w:p>
      <w:pPr>
        <w:pStyle w:val="Para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4"/>
          <w:sz w:val="24"/>
          <w:szCs w:val="24"/>
          <w:color w:val="000000"/>
        </w:rPr>
        <w:t xml:space="preserve">Walter Brandmüller </w:t>
      </w:r>
    </w:p>
    <w:p>
      <w:pPr>
        <w:pStyle w:val="Para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>(già ordinario di Storia della Chiesa nell’Università di Augsburg)</w:t>
      </w:r>
    </w:p>
    <w:p>
      <w:pPr>
        <w:pStyle w:val="Para10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6"/>
          <w:sz w:val="24"/>
          <w:szCs w:val="24"/>
          <w:color w:val="000000"/>
        </w:rPr>
        <w:t>Renuntiatio Papae</w:t>
      </w:r>
      <w:r>
        <w:rPr>
          <w:rStyle w:val="Character4"/>
          <w:sz w:val="24"/>
          <w:szCs w:val="24"/>
          <w:color w:val="000000"/>
        </w:rPr>
        <w:t>. Alcune riflessioni storico-canonistiche *</w:t>
      </w:r>
      <w:r>
        <w:rPr>
          <w:rStyle w:val="Character2"/>
          <w:sz w:val="16"/>
          <w:szCs w:val="16"/>
          <w:color w:val="000000"/>
        </w:rPr>
        <w:t>1</w:t>
      </w:r>
    </w:p>
    <w:p>
      <w:pPr>
        <w:pStyle w:val="Para12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4"/>
          <w:sz w:val="24"/>
          <w:szCs w:val="24"/>
          <w:color w:val="000000"/>
        </w:rPr>
        <w:t>1 -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L’annuncio con cui l’11 febbraio 2013 Papa Benedetto XVI rese nota 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propria intenzione di rinunciare al Ministero di Sommo Pontefice il 28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febbraio dello stesso anno fu del tutto inaspettato e ha posto diverse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questioni da allora oggetto di discussione. 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questo contesto si è richiamata l’attenzione su accadimenti simili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nella storia del Papato Romano, in cui si crede di riconoscere dei precedenti.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primo luogo è stato menzionato Papa Ponziano che nell’anno 235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rinunciò alla propria carica dopo essere stato condannato sotto i consoli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Severo e Quintiniano ai lavori forzati nelle miniere della Sardegna. Non </w:t>
      </w:r>
    </w:p>
    <w:p>
      <w:pPr>
        <w:pStyle w:val="Para1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potendo sperare in un ritorno a Roma, rinunciò alla carica, per non lasciare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la Chiesa senza Pastore Supremo</w:t>
      </w:r>
      <w:r>
        <w:rPr>
          <w:rStyle w:val="Character2"/>
          <w:sz w:val="16"/>
          <w:szCs w:val="16"/>
          <w:color w:val="000000"/>
        </w:rPr>
        <w:t>2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Poi si ricorda il caso di Benedetto IX, il cui profilo si perde nelle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ombre del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saeculum obscurum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: non riconoscibile in modo più chiaro,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neppure allo storico moderno. Teofilatto - così si chiamava Benedetto IX -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discendeva dalla famiglia dei conti di Tuscolo. La loro rivalità con 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Crescenzi fu la causa principale dei continui disordini, nei quali la Sede di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Pietro diventò terreno di scontro degli interessi dei poteri secolari.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Benedetto IX, elevato al Papato da giovane nel 1032, grazie agli intrighi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della sua famiglia, fu cacciato nel 1044 durante una rivolta dei Romani. Gli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subentrò il Vescovo Giovanni di Sabina col nome di Silvestro III. Anch’egli </w:t>
      </w:r>
    </w:p>
    <w:p>
      <w:pPr>
        <w:pStyle w:val="Para15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* Contributo non sottoposto a valutazione. </w:t>
      </w:r>
    </w:p>
    <w:p>
      <w:pPr>
        <w:pStyle w:val="Para17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H. HERMANN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Fragen zu einem päpstlichen Amtsverzicht</w:t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>Zeitschrift der Savigny-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Stiftung für Rechtsgeschichte kan. Abt.</w:t>
      </w:r>
      <w:r>
        <w:rPr>
          <w:rStyle w:val="Character9"/>
          <w:sz w:val="19"/>
          <w:szCs w:val="19"/>
          <w:color w:val="000000"/>
        </w:rPr>
        <w:t xml:space="preserve">, 56 (1970), pp. 102-123;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G. GHIRLANDA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Cessazione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dall</w:t>
      </w:r>
      <w:r>
        <w:rPr>
          <w:rStyle w:val="Character12"/>
          <w:sz w:val="19"/>
          <w:szCs w:val="19"/>
          <w:color w:val="000000"/>
        </w:rPr>
        <w:t>’</w:t>
      </w:r>
      <w:r>
        <w:rPr>
          <w:rStyle w:val="Character12"/>
          <w:sz w:val="19"/>
          <w:szCs w:val="19"/>
          <w:color w:val="000000"/>
        </w:rPr>
        <w:t>ufficio di Romano Pontefice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>La Civiltà Cattolica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164 (2013), pp. 445-462; </w:t>
      </w:r>
      <w:r>
        <w:rPr>
          <w:rStyle w:val="Character11"/>
          <w:sz w:val="19"/>
          <w:szCs w:val="19"/>
          <w:color w:val="000000"/>
        </w:rPr>
        <w:t>R. RUSCONI</w:t>
      </w:r>
      <w:r>
        <w:rPr>
          <w:rStyle w:val="Character9"/>
          <w:sz w:val="19"/>
          <w:szCs w:val="19"/>
          <w:color w:val="000000"/>
        </w:rPr>
        <w:t xml:space="preserve">,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Il gran rifiuto. Perché un papa si dimette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Morcelliana, Brescia, 2013;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La tiara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L.S. Olschki, Firenze, 2013;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K. MARTENS</w:t>
      </w:r>
      <w:r>
        <w:rPr>
          <w:rStyle w:val="Character9"/>
          <w:sz w:val="19"/>
          <w:szCs w:val="19"/>
          <w:color w:val="000000"/>
        </w:rPr>
        <w:t xml:space="preserve">, Tu es Petrus et super hanc petram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aedificabo Ecclesiam meam.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 An Analysis of the Legislation for the Vacancy of the Apostolic See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and the Election of the Roman Pontiff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The Jurist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73 (2013), pp. 29-88. Ultimamente il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fascicolo n. 1/2016 dell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anno 56 della rivista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Ephemerides iuris canonici</w:t>
      </w:r>
      <w:r>
        <w:rPr>
          <w:rStyle w:val="Character9"/>
          <w:sz w:val="19"/>
          <w:szCs w:val="19"/>
          <w:color w:val="000000"/>
        </w:rPr>
        <w:t xml:space="preserve"> in gran parte è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dedicato al tema.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E. PRINZIVALLI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I, Treccani, Roma, 2000, pp. 261-263. Per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altri casi discussi cfr.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3-29; </w:t>
      </w:r>
      <w:r>
        <w:rPr>
          <w:rStyle w:val="Character11"/>
          <w:sz w:val="19"/>
          <w:szCs w:val="19"/>
          <w:color w:val="000000"/>
        </w:rPr>
        <w:t>ID.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Un soglio da cui non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si scende </w:t>
      </w:r>
      <w:r>
        <w:rPr>
          <w:rStyle w:val="Character12"/>
          <w:sz w:val="19"/>
          <w:szCs w:val="19"/>
          <w:color w:val="000000"/>
        </w:rPr>
        <w:t xml:space="preserve">…? </w:t>
      </w:r>
      <w:r>
        <w:rPr>
          <w:rStyle w:val="Character12"/>
          <w:sz w:val="19"/>
          <w:szCs w:val="19"/>
          <w:color w:val="000000"/>
        </w:rPr>
        <w:t xml:space="preserve">Aspetti della </w:t>
      </w:r>
      <w:r>
        <w:rPr>
          <w:rStyle w:val="Character9"/>
          <w:sz w:val="19"/>
          <w:szCs w:val="19"/>
          <w:color w:val="000000"/>
        </w:rPr>
        <w:t>renuntiatio papae</w:t>
      </w:r>
      <w:r>
        <w:rPr>
          <w:rStyle w:val="Character12"/>
          <w:sz w:val="19"/>
          <w:szCs w:val="19"/>
          <w:color w:val="000000"/>
        </w:rPr>
        <w:t xml:space="preserve"> nella storia giuridica medievale</w:t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 xml:space="preserve">Ephemerides iuris </w:t>
      </w:r>
    </w:p>
    <w:p>
      <w:pPr>
        <w:pStyle w:val="Para18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canonici</w:t>
      </w:r>
      <w:r>
        <w:rPr>
          <w:rStyle w:val="Character9"/>
          <w:sz w:val="19"/>
          <w:szCs w:val="19"/>
          <w:color w:val="000000"/>
        </w:rPr>
        <w:t xml:space="preserve">, 56 (2016), pp. 31-70.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fu cacciato dopo solo 49 giorni ritirandosi nella sua Diocesi; Benedetto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ritornò di nuovo sul Soglio di Pietro per un mese e tre settimane soltanto.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Rinunciò per lasciare il posto all’Arciprete Giovanni Graziano di San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Giovanni in Porta Latina, esponente del movimento di riforma che si era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rafforzato</w:t>
      </w:r>
      <w:r>
        <w:rPr>
          <w:rStyle w:val="Character2"/>
          <w:sz w:val="16"/>
          <w:szCs w:val="16"/>
          <w:color w:val="000000"/>
        </w:rPr>
        <w:t>3</w:t>
      </w:r>
      <w:r>
        <w:rPr>
          <w:rStyle w:val="Character7"/>
          <w:sz w:val="24"/>
          <w:szCs w:val="24"/>
          <w:color w:val="000000"/>
        </w:rPr>
        <w:t xml:space="preserve">. Per tale rinuncia, in curioso contrasto con gli ideali riformistici,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molto denaro finì nelle tasche di Benedetto e furono commessi atti di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simonia. Giovanni prese il nome di Gregorio VI. Costui, messo di fronte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all’accusa di simonia dal re Enrico III durante il Sinodo di Sutri del 1046,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riconobbe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 xml:space="preserve">“rebus sic stantibus”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>di non essere Papa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</w:t>
      </w:r>
      <w:r>
        <w:rPr>
          <w:rStyle w:val="Character7"/>
          <w:sz w:val="24"/>
          <w:szCs w:val="24"/>
          <w:color w:val="000000"/>
        </w:rPr>
        <w:t xml:space="preserve">. È chiaro che in un tale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contesto non si può parlare, né per Benedetto IX, né per Gregorio VI, di una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vera rinuncia alla carica.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Poi è da illustrare il noto caso di Celestino V il quale, nel 1294, dopo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due anni di sede vacante, fu eletto Papa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 xml:space="preserve">per inspirationem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da un Collegio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cardinalizio logorato da litigi infiniti e scosso da un caso di morte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improvvisa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5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 quel tempo il santo fondatore di una comunità eremitica, Pietro del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Morrone, aveva già superato 80 anni. Non aveva ricevuto una formazione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adatta all’Ufficio, non aveva l’esperienza necessaria: fu indotto ad accettare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l’elezione solo dalla pressione morale dei Cardinali. Misuratosi con la realtà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della carica, riconobbe ben presto il suo grave errore e lo corresse già il 13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di</w:t>
      </w:r>
      <w:r>
        <w:rPr>
          <w:rStyle w:val="Character7"/>
          <w:sz w:val="24"/>
          <w:szCs w:val="24"/>
          <w:color w:val="000000"/>
        </w:rPr>
        <w:t>cembre 1294 con l’abdicazione, avendone fa</w:t>
      </w:r>
      <w:r>
        <w:rPr>
          <w:rStyle w:val="Character7"/>
          <w:sz w:val="24"/>
          <w:szCs w:val="24"/>
          <w:color w:val="000000"/>
        </w:rPr>
        <w:t xml:space="preserve">tto discutere la possibilità già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poco dopo l’elezione.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effetti, il caso di Celestino era fino al momento della sua rinuncia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l’unica occasione che si prestava a una discussione canonistico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-teologica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della possibilità di una rinuncia del Papa. Dopo l’abd</w:t>
      </w:r>
      <w:r>
        <w:rPr>
          <w:rStyle w:val="Character7"/>
          <w:sz w:val="24"/>
          <w:szCs w:val="24"/>
          <w:color w:val="000000"/>
        </w:rPr>
        <w:t xml:space="preserve">icazione, il successore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di Celestino, Benedetto Gaetani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- Bonifacio VIII - riassunse le risultanze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nella decretale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Quoniam</w:t>
      </w:r>
      <w:r>
        <w:rPr>
          <w:rStyle w:val="Character7"/>
          <w:sz w:val="24"/>
          <w:szCs w:val="24"/>
          <w:color w:val="000000"/>
        </w:rPr>
        <w:t>, pubblicata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nel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 xml:space="preserve">Liber VI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(1.7.1.), riferendo che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Celestino  </w:t>
      </w:r>
    </w:p>
    <w:p>
      <w:pPr>
        <w:pStyle w:val="Para27"/>
      </w:pP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“deliberatione habita cum suis fratribus Ecclesiae Romanae </w:t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cardinalibus (de quorum numero tunc eramus) de nostro, et ipsorum </w:t>
      </w:r>
    </w:p>
    <w:p>
      <w:pPr>
        <w:pStyle w:val="Para28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O. CAPITANI</w:t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>, II, cit., pp. 138-147;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F.J.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SCHMALE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Die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“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Absetzung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”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Gregors VI. in Sutri und die synodale Tradition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Annuarium Historiae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Conciliorum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11 (1979), pp. 55-103.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A.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SENNIS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>, II, cit., pp. 148-150;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F.J. SCHMALE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Die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“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Absetzung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” </w:t>
      </w:r>
      <w:r>
        <w:rPr>
          <w:rStyle w:val="Character12"/>
          <w:sz w:val="19"/>
          <w:szCs w:val="19"/>
          <w:color w:val="000000"/>
        </w:rPr>
        <w:t>Gregors VI. in Sutri und die synodale Tradition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come nota n. 3.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5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P.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HERDE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Coelestin V. 1294</w:t>
      </w:r>
      <w:r>
        <w:rPr>
          <w:rStyle w:val="Character9"/>
          <w:sz w:val="19"/>
          <w:szCs w:val="19"/>
          <w:color w:val="000000"/>
        </w:rPr>
        <w:t xml:space="preserve"> (=Päpste und Papsttum 16), Stuttgart, 1981, in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particolare pp. 129-142; </w:t>
      </w:r>
      <w:r>
        <w:rPr>
          <w:rStyle w:val="Character11"/>
          <w:sz w:val="19"/>
          <w:szCs w:val="19"/>
          <w:color w:val="000000"/>
        </w:rPr>
        <w:t>ID.</w:t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>, II, cit., pp. 460-472; </w:t>
      </w:r>
      <w:r>
        <w:rPr>
          <w:rStyle w:val="Character11"/>
          <w:sz w:val="19"/>
          <w:szCs w:val="19"/>
          <w:color w:val="000000"/>
        </w:rPr>
        <w:t>M.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BERTRAM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Die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Abdankung Papst Cölestins V. (1294) und die Kanonisten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 xml:space="preserve">Zeitschrift der Savigny-Stiftung für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Rechtsgeschichte kan. Abt.</w:t>
      </w:r>
      <w:r>
        <w:rPr>
          <w:rStyle w:val="Character9"/>
          <w:sz w:val="19"/>
          <w:szCs w:val="19"/>
          <w:color w:val="000000"/>
        </w:rPr>
        <w:t xml:space="preserve">, 56 (1970), pp. 1-101.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2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31"/>
      </w:pP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omnium concordi consilio et assensu, auctoritate Apostolica statuit, et </w:t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>decrevit, Romanum Pontificem posse libere resignare”</w:t>
      </w:r>
      <w:r>
        <w:rPr>
          <w:rStyle w:val="Character14"/>
          <w:sz w:val="13"/>
          <w:szCs w:val="13"/>
          <w:color w:val="000000"/>
        </w:rPr>
        <w:t>6</w:t>
      </w:r>
      <w:r>
        <w:rPr>
          <w:rStyle w:val="Character5"/>
          <w:sz w:val="22"/>
          <w:szCs w:val="22"/>
          <w:color w:val="000000"/>
        </w:rPr>
        <w:t xml:space="preserve">.  </w:t>
      </w:r>
    </w:p>
    <w:p>
      <w:pPr>
        <w:pStyle w:val="Para32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 ciò era divenuto chiaro non solo in sede di discussione canonistica, ma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anche nella forma del diritto che un Papa poteva rinunciare all’Ufficio.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Passò un secolo, prima che la questione dell’abdicazione di un Papa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diventasse di nuovo scot</w:t>
      </w:r>
      <w:r>
        <w:rPr>
          <w:rStyle w:val="Character7"/>
          <w:sz w:val="24"/>
          <w:szCs w:val="24"/>
          <w:color w:val="000000"/>
        </w:rPr>
        <w:t>tante con il Grande Scisma d’Occidente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7</w:t>
      </w:r>
      <w:r>
        <w:rPr>
          <w:rStyle w:val="Character7"/>
          <w:sz w:val="24"/>
          <w:szCs w:val="24"/>
          <w:color w:val="000000"/>
        </w:rPr>
        <w:t xml:space="preserve">. Lo scisma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si verificò ai tempi del Papa legitt</w:t>
      </w:r>
      <w:r>
        <w:rPr>
          <w:rStyle w:val="Character7"/>
          <w:sz w:val="24"/>
          <w:szCs w:val="24"/>
          <w:color w:val="000000"/>
        </w:rPr>
        <w:t xml:space="preserve">imo Urbano VI, con l’elezione, avvenuta 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Fondi il 20 settembre 1378, di Roberto di Ginevra ad (anti-)Papa col nome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 Clemente VII. Dato che gli eventi si incrociarono e intrecciarono in modo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tale da rendere la situazione inestricabile - e non è questa la sede per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parlarne -</w:t>
      </w:r>
      <w:r>
        <w:rPr>
          <w:rStyle w:val="Character7"/>
          <w:sz w:val="24"/>
          <w:szCs w:val="24"/>
          <w:color w:val="000000"/>
        </w:rPr>
        <w:t>, molti videro nella contemporanea rinuncia dei ‘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 xml:space="preserve">contendentes de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 xml:space="preserve">papatu’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-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dopo l’insuccesso del Concilio di Pisa nel 1409 erano diventati tre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- </w:t>
      </w:r>
      <w:r>
        <w:rPr>
          <w:rStyle w:val="Character7"/>
          <w:sz w:val="24"/>
          <w:szCs w:val="24"/>
          <w:color w:val="000000"/>
        </w:rPr>
        <w:t xml:space="preserve">l’unica possibilità per porre fine alla perversa situazione. Tale via d’uscita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parve facilmente pratica</w:t>
      </w:r>
      <w:r>
        <w:rPr>
          <w:rStyle w:val="Character7"/>
          <w:sz w:val="24"/>
          <w:szCs w:val="24"/>
          <w:color w:val="000000"/>
        </w:rPr>
        <w:t xml:space="preserve">bile tanto più che nessuno dei tre ‘Papi’ godeva di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una legittimità indubitata. Valeva però l’assioma “Papa dubius nullus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papa”</w:t>
      </w:r>
      <w:r>
        <w:rPr>
          <w:rStyle w:val="Character2"/>
          <w:sz w:val="16"/>
          <w:szCs w:val="16"/>
          <w:color w:val="000000"/>
        </w:rPr>
        <w:t>8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Perciò, quando Gregorio XII e Giovanni XXIII compirono la loro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rinuncia nel Concilio di Costanza (1414-1418), di fatto nessun Papa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legittimo abdicò. 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Toccherà a Napoleone I dare l’occasione di riflettere nuovamente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sulla rinuncia del Papa. Il biografo di Pio VII, Artaud de Montor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9</w:t>
      </w:r>
      <w:r>
        <w:rPr>
          <w:rStyle w:val="Character7"/>
          <w:sz w:val="24"/>
          <w:szCs w:val="24"/>
          <w:color w:val="000000"/>
        </w:rPr>
        <w:t xml:space="preserve">, riferisce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che il Papa, durante il suo soggiorno a Parigi in occasione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dell’incoronazi</w:t>
      </w:r>
      <w:r>
        <w:rPr>
          <w:rStyle w:val="Character7"/>
          <w:sz w:val="24"/>
          <w:szCs w:val="24"/>
          <w:color w:val="000000"/>
        </w:rPr>
        <w:t xml:space="preserve">one di Napoleone, avrebbe reagito alle dicerie circa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volontà di volerlo trattenere a Parigi:  </w:t>
      </w:r>
    </w:p>
    <w:p>
      <w:pPr>
        <w:pStyle w:val="Para27"/>
      </w:pP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>“Orbene. Si privi noi della nostra libertà –</w:t>
      </w:r>
      <w:r>
        <w:rPr>
          <w:rStyle w:val="Character5"/>
          <w:sz w:val="22"/>
          <w:szCs w:val="22"/>
          <w:color w:val="000000"/>
        </w:rPr>
        <w:t xml:space="preserve"> si è fatto provvidenza (= si è </w:t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provveduto) a tutto. Prima che partissimo da Roma, firmammo un </w:t>
      </w:r>
    </w:p>
    <w:p>
      <w:pPr>
        <w:pStyle w:val="Para3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vero e proprio abbandono della nostra dignità (= atto di abdicazione), </w:t>
      </w:r>
    </w:p>
    <w:p>
      <w:pPr>
        <w:pStyle w:val="Para3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>che sarà valido se saremmo messi in prigione. Questo atto è fuori del-</w:t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l’ambito di potere dei francesi, il Cardinale Pignatelli conserva il </w:t>
      </w:r>
    </w:p>
    <w:p>
      <w:pPr>
        <w:pStyle w:val="Para35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6</w:t>
      </w:r>
      <w:r>
        <w:rPr>
          <w:rStyle w:val="Character9"/>
          <w:sz w:val="19"/>
          <w:szCs w:val="19"/>
          <w:color w:val="000000"/>
        </w:rPr>
        <w:t xml:space="preserve"> In </w:t>
      </w:r>
      <w:r>
        <w:rPr>
          <w:rStyle w:val="Character12"/>
          <w:sz w:val="19"/>
          <w:szCs w:val="19"/>
          <w:color w:val="000000"/>
        </w:rPr>
        <w:t>Corpus Iuris Canonici cum glossis</w:t>
      </w:r>
      <w:r>
        <w:rPr>
          <w:rStyle w:val="Character9"/>
          <w:sz w:val="19"/>
          <w:szCs w:val="19"/>
          <w:color w:val="000000"/>
        </w:rPr>
        <w:t xml:space="preserve">, III, Lugduni, 1671, p. 198 ss.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7</w:t>
      </w:r>
      <w:r>
        <w:rPr>
          <w:rStyle w:val="Character9"/>
          <w:sz w:val="19"/>
          <w:szCs w:val="19"/>
          <w:color w:val="000000"/>
        </w:rPr>
        <w:t xml:space="preserve"> Per il complesso delle questioni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Papst und Konzil im Großen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Schisma (1378-1431). Studien und Quellen</w:t>
      </w:r>
      <w:r>
        <w:rPr>
          <w:rStyle w:val="Character9"/>
          <w:sz w:val="19"/>
          <w:szCs w:val="19"/>
          <w:color w:val="000000"/>
        </w:rPr>
        <w:t xml:space="preserve">, F. Schöningh, Paderborn, 1990; </w:t>
      </w:r>
      <w:r>
        <w:rPr>
          <w:rStyle w:val="Character11"/>
          <w:sz w:val="19"/>
          <w:szCs w:val="19"/>
          <w:color w:val="000000"/>
        </w:rPr>
        <w:t>ID.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Das Konzil von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Konstanz 1414-1418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F. Schöningh, I, Paderborn, 2ª ed., 1999, II, Paderborn, 1997.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8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M. CONTE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A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CORONATA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Institutiones Iuris Canonici</w:t>
      </w:r>
      <w:r>
        <w:rPr>
          <w:rStyle w:val="Character9"/>
          <w:sz w:val="19"/>
          <w:szCs w:val="19"/>
          <w:color w:val="000000"/>
        </w:rPr>
        <w:t xml:space="preserve">, I, 4ª ed., Taurini, 1950, p. 373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ss. (n. 317).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9</w:t>
      </w:r>
      <w:r>
        <w:rPr>
          <w:rStyle w:val="Character9"/>
          <w:sz w:val="19"/>
          <w:szCs w:val="19"/>
          <w:color w:val="000000"/>
        </w:rPr>
        <w:t xml:space="preserve"> Citato secondo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edizione tedesca di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Geschichte des Papstes Pius VII. Verfaßt von Ritter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Artaud etc, zweiter Band erster Theil,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Wien, 1838, p. 52 ss. Similmente già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F.A. JÄGER</w:t>
      </w:r>
      <w:r>
        <w:rPr>
          <w:rStyle w:val="Character9"/>
          <w:sz w:val="19"/>
          <w:szCs w:val="19"/>
          <w:color w:val="000000"/>
        </w:rPr>
        <w:t xml:space="preserve">,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Lebensbeschreibung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des Pabstes Pius VII. Mit Urkunden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Frankfurt a. M., 1824, p. 52 ss;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 xml:space="preserve">J.J.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RITTER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Handbuch der Kirchengeschichte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II, Bonn, 6ª ed., 1862, p. 519. Cfr. anche </w:t>
      </w:r>
      <w:r>
        <w:rPr>
          <w:rStyle w:val="Character12"/>
          <w:sz w:val="19"/>
          <w:szCs w:val="19"/>
          <w:color w:val="000000"/>
        </w:rPr>
        <w:t xml:space="preserve">Wetzer und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Welte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‘</w:t>
      </w:r>
      <w:r>
        <w:rPr>
          <w:rStyle w:val="Character12"/>
          <w:sz w:val="19"/>
          <w:szCs w:val="19"/>
          <w:color w:val="000000"/>
        </w:rPr>
        <w:t>s Kirchenlexikon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, 2</w:t>
      </w:r>
      <w:r>
        <w:rPr>
          <w:rStyle w:val="Character10"/>
          <w:sz w:val="12"/>
          <w:szCs w:val="12"/>
          <w:color w:val="000000"/>
        </w:rPr>
        <w:t xml:space="preserve"/>
      </w:r>
      <w:r>
        <w:rPr>
          <w:rStyle w:val="Character10"/>
          <w:sz w:val="12"/>
          <w:szCs w:val="12"/>
          <w:color w:val="000000"/>
        </w:rPr>
        <w:t>a</w:t>
      </w:r>
      <w:r>
        <w:rPr>
          <w:rStyle w:val="Character9"/>
          <w:sz w:val="19"/>
          <w:szCs w:val="19"/>
          <w:color w:val="000000"/>
        </w:rPr>
        <w:t xml:space="preserve"> ed., a cura di J. Hergenröther, F. Kaulen, X, Herder, Freiburg, 1903,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p. 66;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Ph. BOUTRY</w:t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>, cit., III, pp. 509-525, che non menziona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episodio raccontato da Artaud.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3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31"/>
      </w:pP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medesimo a Palermo, ed appena avranno indicato a lui i piani che si </w:t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tramano, non resterà altro nelle vostre mani che un povero monaco che </w:t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si chiama Barnaba Chiaramonti”. </w:t>
      </w:r>
    </w:p>
    <w:p>
      <w:pPr>
        <w:pStyle w:val="Para36"/>
      </w:pP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 questo provvedimento Pio VII avrebbe reso impossibile ogni tentativo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 ricatto. Il fatto, però, che Pio VII in seguito realmente prigioniero di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Napoleone sia a Savona sia a Fontainebleau non ha compiuto un tale atto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mette in dubbio ciò che riporta Artaud. 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Inoltre, ci sono notizie attendibili circa Pio XII: dopo l’occupazione di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Roma da parte dei tedeschi, avrebbe provveduto in egual modo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nell’eve</w:t>
      </w:r>
      <w:r>
        <w:rPr>
          <w:rStyle w:val="Character7"/>
          <w:sz w:val="24"/>
          <w:szCs w:val="24"/>
          <w:color w:val="000000"/>
        </w:rPr>
        <w:t xml:space="preserve">ntualità di una sua prigionia. È significativo che nelle sue memorie,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l’allora ambasciatore di Germania presso la Santa Sede, Ernst von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Weizsäcker, citi il caso di Pio VII nel contesto dei piani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 l’arresto del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Papa</w:t>
      </w:r>
      <w:r>
        <w:rPr>
          <w:rStyle w:val="Character2"/>
          <w:sz w:val="16"/>
          <w:szCs w:val="16"/>
          <w:color w:val="000000"/>
        </w:rPr>
        <w:t>10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Dai ‘precedenti’, citati qua e là, p</w:t>
      </w:r>
      <w:r>
        <w:rPr>
          <w:rStyle w:val="Character7"/>
          <w:sz w:val="24"/>
          <w:szCs w:val="24"/>
          <w:color w:val="000000"/>
        </w:rPr>
        <w:t xml:space="preserve">er la rinuncia di un Papa, è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chiaramente riconoscibile che i suddetti casi si pongono in termini diversi,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ma, tuttavia, non si trattò mai di una rinuncia all’Ufficio per motivi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personali. Tale rinuncia è considerata un </w:t>
      </w:r>
      <w:r>
        <w:rPr>
          <w:rStyle w:val="Character8"/>
          <w:sz w:val="24"/>
          <w:szCs w:val="24"/>
          <w:color w:val="000000"/>
        </w:rPr>
        <w:t>factum inauditum</w:t>
      </w:r>
      <w:r>
        <w:rPr>
          <w:rStyle w:val="Character2"/>
          <w:sz w:val="16"/>
          <w:szCs w:val="16"/>
          <w:color w:val="000000"/>
        </w:rPr>
        <w:t>11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2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4"/>
          <w:sz w:val="24"/>
          <w:szCs w:val="24"/>
          <w:color w:val="000000"/>
        </w:rPr>
        <w:t xml:space="preserve">2 -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Dopo questa digressione storica vanno sollevate pure le questioni circa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la natura dell’atto di rinuncia e le sue conseguenze.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Primo: la rinuncia si riferisce all’ufficio di Vescovo di Roma, al quale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è unito quello di successore dell’apostolo San Pietro e quindi del S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upremo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Pastore della Chiesa di Cristo. Tutti e due gli elementi si distinguono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sostanzialmente. Mentre l’episcopato viene conferito tramite ordinazione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sacramentale che imprime nell’anima dell’ordinato un carattere indelebile,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il Primato Petrino è - nonost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ante l’istituzione divina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- di natura giuridica.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“Papa est nomen iurisdictionis”, come disse già Augustinus Triumphus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12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37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10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E. v. WEIZSÄCKER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Erinnerungen</w:t>
      </w:r>
      <w:r>
        <w:rPr>
          <w:rStyle w:val="Character9"/>
          <w:sz w:val="19"/>
          <w:szCs w:val="19"/>
          <w:color w:val="000000"/>
        </w:rPr>
        <w:t xml:space="preserve">, a cura di Richard v. Weizsäcker, München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etc., 1950, p. 362 ss.;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I. v. LANG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C. SIBYLL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Der Adjutant. Karl Wolff: Der Mann zwischen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Hitler und Himmler</w:t>
      </w:r>
      <w:r>
        <w:rPr>
          <w:rStyle w:val="Character9"/>
          <w:sz w:val="19"/>
          <w:szCs w:val="19"/>
          <w:color w:val="000000"/>
        </w:rPr>
        <w:t xml:space="preserve">, München, 1985;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V.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, cit., p. 391 ss.;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 xml:space="preserve">G.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BONI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Rinuncia del sommo pontefice al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munus petrinum, sedes romana vacans aut prorsus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impedita</w:t>
      </w:r>
      <w:r>
        <w:rPr>
          <w:rStyle w:val="Character12"/>
          <w:sz w:val="19"/>
          <w:szCs w:val="19"/>
          <w:color w:val="000000"/>
        </w:rPr>
        <w:t xml:space="preserve">: tra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ius conditum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e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ius condendum, in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Ephemerides iuris canonici</w:t>
      </w:r>
      <w:r>
        <w:rPr>
          <w:rStyle w:val="Character9"/>
          <w:sz w:val="19"/>
          <w:szCs w:val="19"/>
          <w:color w:val="000000"/>
        </w:rPr>
        <w:t xml:space="preserve">, 56 (2016), p. 74 </w:t>
      </w: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ss., apporta ulteriori testimonianze.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11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M. BERTRAM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La rinuncia al papato nella dottrina canonistica precedente e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contemporanea a Celestino V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Convegno nazionale S. Pietro Celestino nel settimo centenario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dell</w:t>
      </w:r>
      <w:r>
        <w:rPr>
          <w:rStyle w:val="Character12"/>
          <w:sz w:val="19"/>
          <w:szCs w:val="19"/>
          <w:color w:val="000000"/>
        </w:rPr>
        <w:t>’</w:t>
      </w:r>
      <w:r>
        <w:rPr>
          <w:rStyle w:val="Character12"/>
          <w:sz w:val="19"/>
          <w:szCs w:val="19"/>
          <w:color w:val="000000"/>
        </w:rPr>
        <w:t xml:space="preserve">elezione pontificia,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Ferentino 21-22 maggio 1994, a cura di B.M. Valeri, Casamari, 1995, </w:t>
      </w: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p. 4 (cfr. nota 5).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12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M. WILKS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Papa est nomen iurisdictionis: Augustinus Triumphus and the Papal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Vicariate of Christ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The Journal of Theological Studies,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8 (1957) pp. 71-91. È convincente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quanto, spiegando la relazione tra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elezione canonica del Papa e la richiesta di ordinazione,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4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Non va dimenticato, inoltre, che la destinazione dell’ordinato a una sede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definita non è necessaria conseguenza dell’ordinazione sacrame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ntale ma è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 natura giuridica e perciò revocabile. La rinuncia, quindi, si riferisce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soltanto agli aspetti giuridici dell’ufficio. Il dimissionario, per conseguenza,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non è più né vescovo di Roma né Papa, e neppure cardinale. Questa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constatazione oggettiva </w:t>
      </w:r>
      <w:r>
        <w:rPr>
          <w:rStyle w:val="Character7"/>
          <w:sz w:val="24"/>
          <w:szCs w:val="24"/>
          <w:color w:val="000000"/>
        </w:rPr>
        <w:t xml:space="preserve">rimanda nell’ambito di speculazioni edificanti o di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poesia religiosa certe riflessioni e idee di una permanente partecipazione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mistica nel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munus Petrinum</w:t>
      </w:r>
      <w:r>
        <w:rPr>
          <w:rStyle w:val="Character7"/>
          <w:sz w:val="24"/>
          <w:szCs w:val="24"/>
          <w:color w:val="000000"/>
        </w:rPr>
        <w:t xml:space="preserve">. Si è parlato addirittura di un passaggio dalla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plenitudo potestatis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 alla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plenitudo caritatis</w:t>
      </w:r>
      <w:r>
        <w:rPr>
          <w:rStyle w:val="Character7"/>
          <w:sz w:val="24"/>
          <w:szCs w:val="24"/>
          <w:color w:val="000000"/>
        </w:rPr>
        <w:t xml:space="preserve">, perché non ci sarebbe più un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ritorno del dimissionario nel privato. Ma questa argomentazione sarebbe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una </w:t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>μετάβασις</w:t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>εις</w:t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>αλλο</w:t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ab/>
      </w:r>
      <w:r>
        <w:rPr>
          <w:rStyle w:val="Character15"/>
          <w:sz w:val="24"/>
          <w:szCs w:val="24"/>
          <w:color w:val="000000"/>
        </w:rPr>
        <w:t>γένος</w:t>
      </w:r>
      <w:r>
        <w:rPr>
          <w:rStyle w:val="Character7"/>
          <w:sz w:val="24"/>
          <w:szCs w:val="24"/>
          <w:color w:val="000000"/>
        </w:rPr>
        <w:t xml:space="preserve">, cioè un passaggio dal livello istituzionale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canonico-teologico a quello soggettivo ascetico-spirituale. Parimenti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incomprensibile pare il concetto, inventato in questo contesto, di una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‘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renuntiatio mystica’</w:t>
      </w:r>
      <w:r>
        <w:rPr>
          <w:rStyle w:val="Character7"/>
          <w:sz w:val="24"/>
          <w:szCs w:val="24"/>
          <w:color w:val="000000"/>
        </w:rPr>
        <w:t xml:space="preserve"> e, nemmeno, il tentativo di stabilire una specie di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parallelismo contemporaneo di un papa regnante e di un papa orante. Per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motivare tale dualismo si è fatto riferimento a quell’i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dea elaborata da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Kantorowicz in “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The King’s Two Bodies”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 per distinguere la persona pubblica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 re dalla sua persona privata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13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Ma, in ogni modo, Kantorowicz parlò di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due aspetti di una sola persona fisica. Un papato ‘bicipite’ sarebbe una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mostruosità. 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Il tentativo di ridefinire il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munus Petrinum</w:t>
      </w:r>
      <w:r>
        <w:rPr>
          <w:rStyle w:val="Character7"/>
          <w:sz w:val="24"/>
          <w:szCs w:val="24"/>
          <w:color w:val="000000"/>
        </w:rPr>
        <w:t xml:space="preserve"> in tal senso è inaccettabile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dal punto di vista teologico e comporterebbe una minaccia all’unità della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Chiesa. Perciò senz’altro va rifiutato. Insomma: la sostanza del papato è così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chiaramente definita dalla Sacra Scrittura e dalla Tradizione autentica,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cosicché nessun Papa può essere autorizzato a ridefinire il suo ufficio. Il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luogo ecclesiologico di un Papa dimissionario, quindi, viene determinato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solamente dalla sua ordinazione episcopale, in virtù della quale fa parte del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Collegio Episcopale e partecipa della responsabilità spirituale per la Chiesa.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 resto il diritto canonico non riconosce la figura di un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Papa emeritus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 tutto ciò Celestino V inequivocabilmente rese conto spogliandosi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presenza del collegio cardinalizio di tutte le insegne del papato,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indossando di nuovo il suo abito monastico.  </w:t>
      </w:r>
    </w:p>
    <w:p>
      <w:pPr>
        <w:pStyle w:val="Para39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scrive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G. BONI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Due papi a Roma?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Stato, Chiese e pluralismo confessionale</w:t>
      </w:r>
      <w:r>
        <w:rPr>
          <w:rStyle w:val="Character9"/>
          <w:sz w:val="19"/>
          <w:szCs w:val="19"/>
          <w:color w:val="000000"/>
        </w:rPr>
        <w:t xml:space="preserve">, Rivista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telematica (</w:t>
      </w:r>
      <w:r>
        <w:rPr>
          <w:rStyle w:val="Character12"/>
          <w:sz w:val="19"/>
          <w:szCs w:val="19"/>
          <w:color w:val="000000"/>
        </w:rPr>
        <w:t>www.statoechiese.it</w:t>
      </w:r>
      <w:r>
        <w:rPr>
          <w:rStyle w:val="Character9"/>
          <w:sz w:val="19"/>
          <w:szCs w:val="19"/>
          <w:color w:val="000000"/>
        </w:rPr>
        <w:t xml:space="preserve">), n. 33/2015, pp. 7-12.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13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E.H. KANTOROWICZ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The King</w:t>
      </w:r>
      <w:r>
        <w:rPr>
          <w:rStyle w:val="Character12"/>
          <w:sz w:val="19"/>
          <w:szCs w:val="19"/>
          <w:color w:val="000000"/>
        </w:rPr>
        <w:t>’</w:t>
      </w:r>
      <w:r>
        <w:rPr>
          <w:rStyle w:val="Character12"/>
          <w:sz w:val="19"/>
          <w:szCs w:val="19"/>
          <w:color w:val="000000"/>
        </w:rPr>
        <w:t xml:space="preserve">s Two Bodies. A Study in Medieval Political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Theology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Princeton University Press, Princeton, 1957;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p. 407;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ID.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Un soglio da cui non si scende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…?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Aspetti della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renuntiatio papae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nella storia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giuridica medievale</w:t>
      </w:r>
      <w:r>
        <w:rPr>
          <w:rStyle w:val="Character9"/>
          <w:sz w:val="19"/>
          <w:szCs w:val="19"/>
          <w:color w:val="000000"/>
        </w:rPr>
        <w:t xml:space="preserve">, cit., pp. 61-65.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5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40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4"/>
          <w:sz w:val="24"/>
          <w:szCs w:val="24"/>
          <w:color w:val="000000"/>
        </w:rPr>
        <w:t xml:space="preserve">3 - </w:t>
      </w:r>
      <w:r>
        <w:rPr>
          <w:rStyle w:val="Character7"/>
          <w:sz w:val="24"/>
          <w:szCs w:val="24"/>
          <w:color w:val="000000"/>
        </w:rPr>
        <w:t xml:space="preserve">È indiscusso - almeno a partire dalla decretale </w:t>
      </w:r>
      <w:r>
        <w:rPr>
          <w:rStyle w:val="Character8"/>
          <w:sz w:val="24"/>
          <w:szCs w:val="24"/>
          <w:color w:val="000000"/>
        </w:rPr>
        <w:t xml:space="preserve">Quoniam </w:t>
      </w:r>
      <w:r>
        <w:rPr>
          <w:rStyle w:val="Character7"/>
          <w:sz w:val="24"/>
          <w:szCs w:val="24"/>
          <w:color w:val="000000"/>
        </w:rPr>
        <w:t xml:space="preserve">di Bonifacio VIII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-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che una rinuncia del Papa all’ufficio è canonicamente possibile. Già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Uguccione</w:t>
      </w:r>
      <w:r>
        <w:rPr>
          <w:rStyle w:val="Character2"/>
          <w:sz w:val="16"/>
          <w:szCs w:val="16"/>
          <w:color w:val="000000"/>
        </w:rPr>
        <w:t>14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 a</w:t>
      </w:r>
      <w:r>
        <w:rPr>
          <w:rStyle w:val="Character7"/>
          <w:sz w:val="24"/>
          <w:szCs w:val="24"/>
          <w:color w:val="000000"/>
        </w:rPr>
        <w:t xml:space="preserve">veva trattato l’argomento nella sua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 xml:space="preserve">Summa decretorum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>(1178-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1201), parlando anche del conflitto tra il diritto naturale della persona alla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rinuncia all’ufficio e le esigenze del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bonum commune</w:t>
      </w:r>
      <w:r>
        <w:rPr>
          <w:rStyle w:val="Character7"/>
          <w:sz w:val="24"/>
          <w:szCs w:val="24"/>
          <w:color w:val="000000"/>
        </w:rPr>
        <w:t xml:space="preserve">. Egli cercò una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soluzione trasferendo il problema al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forum internum</w:t>
      </w:r>
      <w:r>
        <w:rPr>
          <w:rStyle w:val="Character2"/>
          <w:sz w:val="16"/>
          <w:szCs w:val="16"/>
          <w:color w:val="000000"/>
        </w:rPr>
        <w:t>15</w:t>
      </w:r>
      <w:r>
        <w:rPr>
          <w:rStyle w:val="Character8"/>
          <w:sz w:val="24"/>
          <w:szCs w:val="24"/>
          <w:color w:val="000000"/>
        </w:rPr>
        <w:t>.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L’ulteriore </w:t>
      </w:r>
    </w:p>
    <w:p>
      <w:pPr>
        <w:pStyle w:val="Para1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discussione canonistica si limitò alla possibilità della rinuncia al Papato, alla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richiesta di una </w:t>
      </w:r>
      <w:r>
        <w:rPr>
          <w:rStyle w:val="Character8"/>
          <w:sz w:val="24"/>
          <w:szCs w:val="24"/>
          <w:color w:val="000000"/>
        </w:rPr>
        <w:t>causa iusta</w:t>
      </w:r>
      <w:r>
        <w:rPr>
          <w:rStyle w:val="Character7"/>
          <w:sz w:val="24"/>
          <w:szCs w:val="24"/>
          <w:color w:val="000000"/>
        </w:rPr>
        <w:t xml:space="preserve"> e al problema del </w:t>
      </w:r>
      <w:r>
        <w:rPr>
          <w:rStyle w:val="Character8"/>
          <w:sz w:val="24"/>
          <w:szCs w:val="24"/>
          <w:color w:val="000000"/>
        </w:rPr>
        <w:t>consensus superioris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, che nel caso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della rinuncia di un papa non esiste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16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L’Hostiensis </w:t>
      </w:r>
      <w:r>
        <w:rPr>
          <w:rStyle w:val="Character7"/>
          <w:sz w:val="24"/>
          <w:szCs w:val="24"/>
          <w:color w:val="000000"/>
        </w:rPr>
        <w:t xml:space="preserve">- Henricus de Segusio </w:t>
      </w:r>
      <w:r>
        <w:rPr>
          <w:rStyle w:val="Character7"/>
          <w:sz w:val="24"/>
          <w:szCs w:val="24"/>
          <w:color w:val="000000"/>
        </w:rPr>
        <w:t xml:space="preserve">(†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1271) - non ne parlò più</w:t>
      </w:r>
      <w:r>
        <w:rPr>
          <w:rStyle w:val="Character2"/>
          <w:sz w:val="16"/>
          <w:szCs w:val="16"/>
          <w:color w:val="000000"/>
        </w:rPr>
        <w:t>17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tal modo si presentava lo stato giuridico alla vigilia della rinuncia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di Celestino V. E su ciò si basò Celestino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18</w:t>
      </w:r>
      <w:r>
        <w:rPr>
          <w:rStyle w:val="Character7"/>
          <w:sz w:val="24"/>
          <w:szCs w:val="24"/>
          <w:color w:val="000000"/>
        </w:rPr>
        <w:t xml:space="preserve">. 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Invece, non si può ignorare che questa prima disposizione di legge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da parte di Celestino V, ripresa da Bonifacio VIII, fu determinata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chiaramente da una particolare occasione. Solo in quelle circostanze si poté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arrivare alla regolamentazione in seguito codificata come elemento del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diritto canonico. Ciò vale anche per il C.I.C. del 1917 (can. 221) e per quello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 1983 (can. 332 § 2) che si riferiscono a un caso del tutto eccezionale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19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Come già la decretale di Bonifacio VIII, anche questi due canoni constatano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solo che il Papa potrebbe rinunciare di propria iniziativa. 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È però degna di nota la formulazione del can. 221 (1917): “Si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contingat [!] ut Romanus Pontifex renuntiet, ad eiusdem renuntiationis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validitatem non est necessaria cardinalium aliorumve acceptatio”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 xml:space="preserve">.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Con ciò </w:t>
      </w:r>
    </w:p>
    <w:p>
      <w:pPr>
        <w:pStyle w:val="Para41"/>
      </w:pP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14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M.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BERTRAM</w:t>
      </w:r>
      <w:r>
        <w:rPr>
          <w:rStyle w:val="Character9"/>
          <w:sz w:val="19"/>
          <w:szCs w:val="19"/>
          <w:color w:val="000000"/>
        </w:rPr>
        <w:t>,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Die Abdankung Papst Cölestins V. (1294) und die Kanonisten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100-108;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51-58.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15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“</w:t>
      </w:r>
      <w:r>
        <w:rPr>
          <w:rStyle w:val="Character9"/>
          <w:sz w:val="19"/>
          <w:szCs w:val="19"/>
          <w:color w:val="000000"/>
        </w:rPr>
        <w:t xml:space="preserve">È per risolvere il conflitto concettuale fra il diritto innegabile alla rinuncia e le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esigenze dell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alto ufficio, fa (cioè Uguccio) un passo molto significativo per il pensiero </w:t>
      </w: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canonistico, trasportando il problema dall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ambito del diritto oggettivo al foro interno.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Afferma, infatti, che una rinuncia irresponsabile, cioè senza riguardo al bene comune,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sarebbe un peccato addirittura mortale. Trasforma, dunque, il problema giurisdizionale in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un fatto di coscienza, e con questo riesce a salvaguardare il principio del diritto alla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rinuncia limitando nondimeno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>arbitrio di un atto grave</w:t>
      </w:r>
      <w:r>
        <w:rPr>
          <w:rStyle w:val="Character9"/>
          <w:sz w:val="19"/>
          <w:szCs w:val="19"/>
          <w:color w:val="000000"/>
        </w:rPr>
        <w:t xml:space="preserve">”: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M.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BERTRAM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Die Abdankung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Papst Cölestins V. (1294) und die Kanonisten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p. 102, nota 10.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16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V.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129-131.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17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V.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p. 103.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18</w:t>
      </w:r>
      <w:r>
        <w:rPr>
          <w:rStyle w:val="Character9"/>
          <w:sz w:val="19"/>
          <w:szCs w:val="19"/>
          <w:color w:val="000000"/>
        </w:rPr>
        <w:t xml:space="preserve"> Cfr.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esposizione dettagliata di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31-135.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19</w:t>
      </w:r>
      <w:r>
        <w:rPr>
          <w:rStyle w:val="Character9"/>
          <w:sz w:val="19"/>
          <w:szCs w:val="19"/>
          <w:color w:val="000000"/>
        </w:rPr>
        <w:t xml:space="preserve"> La </w:t>
      </w:r>
      <w:r>
        <w:rPr>
          <w:rStyle w:val="Character12"/>
          <w:sz w:val="19"/>
          <w:szCs w:val="19"/>
          <w:color w:val="000000"/>
        </w:rPr>
        <w:t xml:space="preserve">communis opinio </w:t>
      </w:r>
      <w:r>
        <w:rPr>
          <w:rStyle w:val="Character9"/>
          <w:sz w:val="19"/>
          <w:szCs w:val="19"/>
          <w:color w:val="000000"/>
        </w:rPr>
        <w:t xml:space="preserve">è riferita in </w:t>
      </w:r>
      <w:r>
        <w:rPr>
          <w:rStyle w:val="Character11"/>
          <w:sz w:val="19"/>
          <w:szCs w:val="19"/>
          <w:color w:val="000000"/>
        </w:rPr>
        <w:t>L. FERRARIS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Prompta bibliotheca canonica, iuridica etc.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VI, Bononiae-Venetiis, 4ª ed., 1763, p. 19. Invece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L. THOMASSINUS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nella sua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monumentale opera in tre volumi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Vetus et nova Ecclesiae disciplina circa beneficia et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beneficiarios. Ed. latina prima post duas Gallicanas</w:t>
      </w:r>
      <w:r>
        <w:rPr>
          <w:rStyle w:val="Character9"/>
          <w:sz w:val="19"/>
          <w:szCs w:val="19"/>
          <w:color w:val="000000"/>
        </w:rPr>
        <w:t xml:space="preserve">, Parisiis, 1688, tratta ampiamente la </w:t>
      </w: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rinuncia all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ufficio dei Vescovi, ma non fa alcun cenno alla rinuncia papale. Anche in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questo si può forse vedere l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indizio che un caso del genere era fuori da ogni orizzonte. 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6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non si trae soltanto la conclusione che il Papa non riconosce alcuna istanza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terrena sopra di sé. Le parole iniziali “Si contingat” indicano invece in modo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piuttosto chiaro che il legislatore si riferisce a un caso piuttosto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inverosimile. Tale interpretazione è sostenuta dal fatto che anche il can. 332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§ 2 (1983) riprende questa formulazione, e che per la validità della rinuncia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si esiga solamente che essa “libere fiat et rite manifestetur”, senza che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occorra l’accettazione da parte di qualcuno.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Ciononostante,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va presa in considerazione l’incisiva importa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nza di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una rinuncia papale per tutta la Chiesa, che certamente non dev’essere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accettata da nessuno, ma il Popolo di Dio deve  </w:t>
      </w:r>
    </w:p>
    <w:p>
      <w:pPr>
        <w:pStyle w:val="Para42"/>
      </w:pP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“venirne potenzialmente a conoscenza nella misura in cui l’atto sia </w:t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stato esternato secondo una forma di pubblicità tanto adeguata al suo </w:t>
      </w:r>
    </w:p>
    <w:p>
      <w:pPr>
        <w:pStyle w:val="Para2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scopo quanto proporzionale alla posizione apicale dell’ufficio oggetto </w:t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>di cessazione”</w:t>
      </w:r>
      <w:r>
        <w:rPr>
          <w:rStyle w:val="Character14"/>
          <w:sz w:val="13"/>
          <w:szCs w:val="13"/>
          <w:color w:val="000000"/>
        </w:rPr>
        <w:t>20</w:t>
      </w:r>
      <w:r>
        <w:rPr>
          <w:rStyle w:val="Character5"/>
          <w:sz w:val="22"/>
          <w:szCs w:val="22"/>
          <w:color w:val="000000"/>
        </w:rPr>
        <w:t xml:space="preserve">. </w:t>
      </w:r>
    </w:p>
    <w:p>
      <w:pPr>
        <w:pStyle w:val="Para43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Nella decretale di Bonifacio VIII e nei due canoni in parola non è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contenuta alcuna regolamentazione più dettagliata circa il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modus</w:t>
      </w:r>
      <w:r>
        <w:rPr>
          <w:rStyle w:val="Character7"/>
          <w:sz w:val="24"/>
          <w:szCs w:val="24"/>
          <w:color w:val="000000"/>
        </w:rPr>
        <w:t xml:space="preserve"> e le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conseguenze della rin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uncia all’Ufficio. Per di più, è evidente il fatto che 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commentatori più autorevoli si limitano ogni volta a citare il testo dei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canoni, senza unire alcuna interpretazione</w:t>
      </w:r>
      <w:r>
        <w:rPr>
          <w:rStyle w:val="Character2"/>
          <w:sz w:val="16"/>
          <w:szCs w:val="16"/>
          <w:color w:val="000000"/>
        </w:rPr>
        <w:t>21</w:t>
      </w:r>
      <w:r>
        <w:rPr>
          <w:rStyle w:val="Character7"/>
          <w:sz w:val="24"/>
          <w:szCs w:val="24"/>
          <w:color w:val="000000"/>
        </w:rPr>
        <w:t xml:space="preserve">. Del resto, si constata che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rinuncia di un papa sia possibile “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 xml:space="preserve">propter necessitatem vel utilitatem Ecclesiae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universalis”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; mentre che sia non solo valida, ma anche moralmente lecita,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dipende dall’esserci la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iusta causa</w:t>
      </w:r>
      <w:r>
        <w:rPr>
          <w:rStyle w:val="Character2"/>
          <w:sz w:val="16"/>
          <w:szCs w:val="16"/>
          <w:color w:val="000000"/>
        </w:rPr>
        <w:t>22</w:t>
      </w:r>
      <w:r>
        <w:rPr>
          <w:rStyle w:val="Character7"/>
          <w:sz w:val="24"/>
          <w:szCs w:val="24"/>
          <w:color w:val="000000"/>
        </w:rPr>
        <w:t xml:space="preserve">. Un vincolo così stretto come quello tra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il Papa e la Chiesa non può essere sciolto in modo arbitrario</w:t>
      </w:r>
      <w:r>
        <w:rPr>
          <w:rStyle w:val="Character2"/>
          <w:sz w:val="16"/>
          <w:szCs w:val="16"/>
          <w:color w:val="000000"/>
        </w:rPr>
        <w:t>23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44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20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M. GANARIN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Sulla natura recettizia dell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’</w:t>
      </w:r>
      <w:r>
        <w:rPr>
          <w:rStyle w:val="Character12"/>
          <w:sz w:val="19"/>
          <w:szCs w:val="19"/>
          <w:color w:val="000000"/>
        </w:rPr>
        <w:t>atto giuridico di rinuncia all</w:t>
      </w:r>
      <w:r>
        <w:rPr>
          <w:rStyle w:val="Character12"/>
          <w:sz w:val="19"/>
          <w:szCs w:val="19"/>
          <w:color w:val="000000"/>
        </w:rPr>
        <w:t>’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ufficio ecclesiastico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con particolare riferimento alla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renuntiatio Papae, in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Ephemerides iuris canonici</w:t>
      </w:r>
      <w:r>
        <w:rPr>
          <w:rStyle w:val="Character9"/>
          <w:sz w:val="19"/>
          <w:szCs w:val="19"/>
          <w:color w:val="000000"/>
        </w:rPr>
        <w:t xml:space="preserve">, 56 (2016), p. </w:t>
      </w: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150.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21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H. JONE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Commentarium in Codicem Iuris Canonici</w:t>
      </w:r>
      <w:r>
        <w:rPr>
          <w:rStyle w:val="Character9"/>
          <w:sz w:val="19"/>
          <w:szCs w:val="19"/>
          <w:color w:val="000000"/>
        </w:rPr>
        <w:t xml:space="preserve">, I, Paderborn 1950, p. 223;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 xml:space="preserve">E.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EICHMANN</w:t>
      </w:r>
      <w:r>
        <w:rPr>
          <w:rStyle w:val="Character9"/>
          <w:sz w:val="19"/>
          <w:szCs w:val="19"/>
          <w:color w:val="000000"/>
        </w:rPr>
        <w:t>,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 xml:space="preserve"> K. MÖRSDORF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Lehrbuch des Kirchenrechts</w:t>
      </w:r>
      <w:r>
        <w:rPr>
          <w:rStyle w:val="Character9"/>
          <w:sz w:val="19"/>
          <w:szCs w:val="19"/>
          <w:color w:val="000000"/>
        </w:rPr>
        <w:t xml:space="preserve">, I, München etc., 10ª ed., 1958,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p. 358. Così anche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J.B. SÄGMÜLLER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Lehrbuch des katholischen Kirchenrechts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I, Freiburg i.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B., 2ª ed., 1914, p. 407: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“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La Sede Papale può liberarsi anche per rassegnazione. Dato che la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dignità papale non conferisce alcun character indelebilis, una rinuncia è sempre possibile,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e senza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>accettazione da parte di qualcuno</w:t>
      </w:r>
      <w:r>
        <w:rPr>
          <w:rStyle w:val="Character9"/>
          <w:sz w:val="19"/>
          <w:szCs w:val="19"/>
          <w:color w:val="000000"/>
        </w:rPr>
        <w:t xml:space="preserve">”.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Autore non vede qui che anche il Vescovo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può dimettersi nonostante il suo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character indelebilis</w:t>
      </w:r>
      <w:r>
        <w:rPr>
          <w:rStyle w:val="Character9"/>
          <w:sz w:val="19"/>
          <w:szCs w:val="19"/>
          <w:color w:val="000000"/>
        </w:rPr>
        <w:t xml:space="preserve">!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22</w:t>
      </w:r>
      <w:r>
        <w:rPr>
          <w:rStyle w:val="Character9"/>
          <w:sz w:val="19"/>
          <w:szCs w:val="19"/>
          <w:color w:val="000000"/>
        </w:rPr>
        <w:t xml:space="preserve"> A questo richiama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attenzione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F.X. WERNZ</w:t>
      </w:r>
      <w:r>
        <w:rPr>
          <w:rStyle w:val="Character9"/>
          <w:sz w:val="19"/>
          <w:szCs w:val="19"/>
          <w:color w:val="000000"/>
        </w:rPr>
        <w:t>,</w:t>
      </w:r>
      <w:r>
        <w:rPr>
          <w:rStyle w:val="Character11"/>
          <w:sz w:val="19"/>
          <w:szCs w:val="19"/>
          <w:color w:val="000000"/>
        </w:rPr>
        <w:t xml:space="preserve"> P. VIDAL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Jus canonicum ad codicis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normam exactum</w:t>
      </w:r>
      <w:r>
        <w:rPr>
          <w:rStyle w:val="Character9"/>
          <w:sz w:val="19"/>
          <w:szCs w:val="19"/>
          <w:color w:val="000000"/>
        </w:rPr>
        <w:t xml:space="preserve">, II, Romae, 3ª ed., 1943, p. 515 ss.; </w:t>
      </w:r>
      <w:r>
        <w:rPr>
          <w:rStyle w:val="Character11"/>
          <w:sz w:val="19"/>
          <w:szCs w:val="19"/>
          <w:color w:val="000000"/>
        </w:rPr>
        <w:t>M. CONTE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A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CORONATA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Institutiones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Iuris Canonici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p. 373, si limita a notare, con richiamo al can. 103, che solo la costrizione </w:t>
      </w:r>
    </w:p>
    <w:p>
      <w:pPr>
        <w:pStyle w:val="Para45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esterna, rispettivamente il timore che toglie ogni riflessione, può rendere inefficace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la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rinuncia.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23</w:t>
      </w:r>
      <w:r>
        <w:rPr>
          <w:rStyle w:val="Character9"/>
          <w:sz w:val="19"/>
          <w:szCs w:val="19"/>
          <w:color w:val="000000"/>
        </w:rPr>
        <w:t xml:space="preserve"> Circa il legame matrimoniale tra il Papa e la Chiesa cfr. </w:t>
      </w:r>
      <w:r>
        <w:rPr>
          <w:rStyle w:val="Character11"/>
          <w:sz w:val="19"/>
          <w:szCs w:val="19"/>
          <w:color w:val="000000"/>
        </w:rPr>
        <w:t>W. IMKAMP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Das Kirchenbild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Innozenz</w:t>
      </w:r>
      <w:r>
        <w:rPr>
          <w:rStyle w:val="Character12"/>
          <w:sz w:val="19"/>
          <w:szCs w:val="19"/>
          <w:color w:val="000000"/>
        </w:rPr>
        <w:t xml:space="preserve">’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III. (1198-1216)</w:t>
      </w:r>
      <w:r>
        <w:rPr>
          <w:rStyle w:val="Character9"/>
          <w:sz w:val="19"/>
          <w:szCs w:val="19"/>
          <w:color w:val="000000"/>
        </w:rPr>
        <w:t xml:space="preserve">, Stuttgart, 1988, pp. 300-326;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p. 284.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7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Non solo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l’assenza di parole di commento è significativa, ma lo è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anche il fatto che il legislatore stesso non abbia regolato né la procedura, né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la forma, né le conseguenze canoniche della rinuncia all’Ufficio. Questo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silenzio eloquente non ammette altra conclusione che: i canoni in parola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hanno ovviamente l’obiettivo di aprire una via d’uscita da una situazione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 estrema emergenza ecclesiale, la quale è pensabile, ma </w:t>
      </w:r>
      <w:r>
        <w:rPr>
          <w:rStyle w:val="Character8"/>
          <w:sz w:val="24"/>
          <w:szCs w:val="24"/>
          <w:color w:val="000000"/>
        </w:rPr>
        <w:t>de facto</w:t>
      </w:r>
      <w:r>
        <w:rPr>
          <w:rStyle w:val="Character7"/>
          <w:sz w:val="24"/>
          <w:szCs w:val="24"/>
          <w:color w:val="000000"/>
        </w:rPr>
        <w:t xml:space="preserve"> non capita.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“La rinuncia del Papa è possibile, ma non accade”: così il ri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sultato di uno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storico del diritto nell’anno 1970</w:t>
      </w:r>
      <w:r>
        <w:rPr>
          <w:rStyle w:val="Character2"/>
          <w:sz w:val="16"/>
          <w:szCs w:val="16"/>
          <w:color w:val="000000"/>
        </w:rPr>
        <w:t>24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Questa opinione viene confermata dai Sommi Pontefici Paolo VI 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San Giovanni Paolo II. Ambedue ritenevano la dimissione dal ministero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petrino moralmente inaccettabile. Lo stesso beato Paolo VI - dopo qualche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incertezza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–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disse che una rinuncia “sarebbe un trauma per la Chiesa” 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sentiva il “grave obbligo di coscienza di continuare a svolgere il proprio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ufficio”</w:t>
      </w:r>
      <w:r>
        <w:rPr>
          <w:rStyle w:val="Character2"/>
          <w:sz w:val="16"/>
          <w:szCs w:val="16"/>
          <w:color w:val="000000"/>
        </w:rPr>
        <w:t>25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San Giovanni Paolo II invece constatò laconicamente: “non c’è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posto nella Chiesa per un papa emerito”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26</w:t>
      </w:r>
      <w:r>
        <w:rPr>
          <w:rStyle w:val="Character7"/>
          <w:sz w:val="24"/>
          <w:szCs w:val="24"/>
          <w:color w:val="000000"/>
        </w:rPr>
        <w:t xml:space="preserve">. Inoltre - così Mons. Dziwisz -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“teme di creare un pericoloso precedente per i suoi successori, perché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qualcuno potrebbe rimanere esposto a manovre e sottili pressioni da parte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di chi desiderasse deporlo”</w:t>
      </w:r>
      <w:r>
        <w:rPr>
          <w:rStyle w:val="Character2"/>
          <w:sz w:val="16"/>
          <w:szCs w:val="16"/>
          <w:color w:val="000000"/>
        </w:rPr>
        <w:t>27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2"/>
      </w:pP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4"/>
          <w:sz w:val="24"/>
          <w:szCs w:val="24"/>
          <w:color w:val="000000"/>
        </w:rPr>
        <w:t xml:space="preserve">4 -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Trattando un tema dal punto di vista ecclesiologico talmente delicato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come la rinuncia papale non sarebbero sufficienti ragionamenti puramente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canonistico-tecnici. Ciò che è richiesto è piuttosto la consultazione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dell’esperienza storica della Chiesa fatta in simili circostanze, come pure </w:t>
      </w:r>
    </w:p>
    <w:p>
      <w:pPr>
        <w:pStyle w:val="Para1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quella dello S</w:t>
      </w:r>
      <w:r>
        <w:rPr>
          <w:rStyle w:val="Character7"/>
          <w:sz w:val="24"/>
          <w:szCs w:val="24"/>
          <w:color w:val="000000"/>
        </w:rPr>
        <w:t xml:space="preserve">cisma d’Occidente tra il 20 settembre 1378 e l’11 novembre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1417. Fu in quel contesto che la possibilità della rinuncia al papato assunse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nuova e urgente attualità. Per arrivare alla soluzione dello scisma - dopo il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fallimento del concilio di Pisa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>–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‘</w:t>
      </w:r>
      <w:r>
        <w:rPr>
          <w:rStyle w:val="Character8"/>
          <w:sz w:val="24"/>
          <w:szCs w:val="24"/>
          <w:color w:val="000000"/>
        </w:rPr>
        <w:t>tricip</w:t>
      </w:r>
      <w:r>
        <w:rPr>
          <w:rStyle w:val="Character8"/>
          <w:sz w:val="24"/>
          <w:szCs w:val="24"/>
          <w:color w:val="000000"/>
        </w:rPr>
        <w:t>ite’</w:t>
      </w:r>
      <w:r>
        <w:rPr>
          <w:rStyle w:val="Character7"/>
          <w:sz w:val="24"/>
          <w:szCs w:val="24"/>
          <w:color w:val="000000"/>
        </w:rPr>
        <w:t xml:space="preserve"> si discusse tra altre cose anche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via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cessionis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>, cioè la via della rinuncia</w:t>
      </w:r>
      <w:r>
        <w:rPr>
          <w:rStyle w:val="Character2"/>
          <w:sz w:val="16"/>
          <w:szCs w:val="16"/>
          <w:color w:val="000000"/>
        </w:rPr>
        <w:t>28</w:t>
      </w:r>
      <w:r>
        <w:rPr>
          <w:rStyle w:val="Character7"/>
          <w:sz w:val="24"/>
          <w:szCs w:val="24"/>
          <w:color w:val="000000"/>
        </w:rPr>
        <w:t xml:space="preserve">. Infatti gli ‘antipapi’ eletti durante lo </w:t>
      </w:r>
    </w:p>
    <w:p>
      <w:pPr>
        <w:pStyle w:val="Para46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24</w:t>
      </w:r>
      <w:r>
        <w:rPr>
          <w:rStyle w:val="Character9"/>
          <w:sz w:val="19"/>
          <w:szCs w:val="19"/>
          <w:color w:val="000000"/>
        </w:rPr>
        <w:t xml:space="preserve"> Cfr. nota 1.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25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G. BONI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Rinuncia del sommo pontefice al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munus petrinum, sedes romana vacans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aut prorsus impedita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: tra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ius conditum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e </w:t>
      </w:r>
      <w:r>
        <w:rPr>
          <w:rStyle w:val="Character9"/>
          <w:sz w:val="19"/>
          <w:szCs w:val="19"/>
          <w:color w:val="000000"/>
        </w:rPr>
        <w:t xml:space="preserve">ius condendum, cit., pp. 76-79.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26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>, cit., pp. 395-399.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27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p. 402; </w:t>
      </w:r>
      <w:r>
        <w:rPr>
          <w:rStyle w:val="Character11"/>
          <w:sz w:val="19"/>
          <w:szCs w:val="19"/>
          <w:color w:val="000000"/>
        </w:rPr>
        <w:t>G. BONI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Rinuncia del sommo pontefice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al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munus petrinum, sedes romana vacans aut prorsus impedita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: tra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ius conditum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e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ius </w:t>
      </w: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condendum, cit., pp. 80-85.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28</w:t>
      </w:r>
      <w:r>
        <w:rPr>
          <w:rStyle w:val="Character9"/>
          <w:sz w:val="19"/>
          <w:szCs w:val="19"/>
          <w:color w:val="000000"/>
        </w:rPr>
        <w:t xml:space="preserve"> Per questo capitolo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Papst und Konzil im Großen Schisma</w:t>
      </w:r>
      <w:r>
        <w:rPr>
          <w:rStyle w:val="Character9"/>
          <w:sz w:val="19"/>
          <w:szCs w:val="19"/>
          <w:color w:val="000000"/>
        </w:rPr>
        <w:t xml:space="preserve">, n.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27;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ID.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Benedikt XIII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Lexikon des Mittelalters</w:t>
      </w:r>
      <w:r>
        <w:rPr>
          <w:rStyle w:val="Character9"/>
          <w:sz w:val="19"/>
          <w:szCs w:val="19"/>
          <w:color w:val="000000"/>
        </w:rPr>
        <w:t>,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I, pp. 1862-1864</w:t>
      </w:r>
      <w:r>
        <w:rPr>
          <w:rStyle w:val="Character12"/>
          <w:sz w:val="19"/>
          <w:szCs w:val="19"/>
          <w:color w:val="000000"/>
        </w:rPr>
        <w:t xml:space="preserve">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A. GARCIA Y GARCIA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La canonistica Ibérica medieval posterior al Decreto de Gratiano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Repertorio de Historia de las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Ciencias eclestiasticas en España,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II, Salamanca, 1971, pp. 206-207; 420 ss.; 431 ss. Queste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notizie potrebbero integrare quanto scrive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353-363.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8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scisma avevano quasi tutti giurato prima di entrare in conclave di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rinunciare al più presto per ridare alla Chiesa l’unità da dece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nni perduta.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Però le circostanze politiche erano tali da rendere impossibile l’atto, per la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mancanza di libertà oppure per il dubbio se, fatta la rinuncia, ci sarebbe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stata certezza di un’elezione libera e sicura del nuovo papa, libera da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pressioni politic</w:t>
      </w:r>
      <w:r>
        <w:rPr>
          <w:rStyle w:val="Character7"/>
          <w:sz w:val="24"/>
          <w:szCs w:val="24"/>
          <w:color w:val="000000"/>
        </w:rPr>
        <w:t xml:space="preserve">he, ecc. Insomma, è abbastanza ingiustificata l’accusa nei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confronti dei ‘</w:t>
      </w:r>
      <w:r>
        <w:rPr>
          <w:rStyle w:val="Character8"/>
          <w:sz w:val="24"/>
          <w:szCs w:val="24"/>
          <w:color w:val="000000"/>
        </w:rPr>
        <w:t>contendentes de papatu’</w:t>
      </w:r>
      <w:r>
        <w:rPr>
          <w:rStyle w:val="Character7"/>
          <w:sz w:val="24"/>
          <w:szCs w:val="24"/>
          <w:color w:val="000000"/>
        </w:rPr>
        <w:t xml:space="preserve"> di essere caparbi, egoisti e in verità non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disposti a cedere. Queste accuse vengono di solito rivolte piuttosto 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Benedetto XIII, Pedro de Luna. Però, proprio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quest’ultimo, da celebre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canonista, aveva in quegli anni elaborato dei trattati sullo scisma, prova di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profonda erudizione e coscienza di responsabilità. Non c’è dubbio circa 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serietà della sua disponibilità alla rinuncia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29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Alla fine, però, l’unità dell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a Chiesa si fece nel Concilio di Costanza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davanti al quale Gregorio XII dell’obbedienza Romana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dichiarò la sua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rinuncia tramite procuratori, mentre Giovanni XXIII, l’antipapa del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Concilio di Pisa, si dimise e al contempo, processato dal Concilio, venne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deposto. In ambedue i casi si trattava solamente di rinuncia a proprie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discutibili pretese. L’ultimo atto di dimissione di un papa (illegittimo) lo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compì Amadeo di Savoia, che ‘eletto’ dal Concilio scismatico di Basilea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rinunciò nel 1449 dando così alla Chiesa la pace</w:t>
      </w:r>
      <w:r>
        <w:rPr>
          <w:rStyle w:val="Character2"/>
          <w:sz w:val="16"/>
          <w:szCs w:val="16"/>
          <w:color w:val="000000"/>
        </w:rPr>
        <w:t>30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Torniamo un attimo alla problematica canonistica di quegli anni,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assai intricata. Nei dibattiti accesi tra i primi due, poi tre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 xml:space="preserve">contendentes de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papatu</w:t>
      </w:r>
      <w:r>
        <w:rPr>
          <w:rStyle w:val="Character7"/>
          <w:sz w:val="24"/>
          <w:szCs w:val="24"/>
          <w:color w:val="000000"/>
        </w:rPr>
        <w:t xml:space="preserve"> e i loro esperti canonisti nessuna delle parti fu in grado di addurre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una sola norma giuridica applicabile in modo ineccepibile alla situazione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scismatica: e tutto ciò grazie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alla mancanza di un’apposita legge. Quella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mancanza era la causa dell’eccessiva durata dello scisma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31</w:t>
      </w:r>
      <w:r>
        <w:rPr>
          <w:rStyle w:val="Character7"/>
          <w:sz w:val="24"/>
          <w:szCs w:val="24"/>
          <w:color w:val="000000"/>
        </w:rPr>
        <w:t xml:space="preserve">. Sulla base di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questa triste esperienza il Concilio di Costanza emanò il capitolo secondo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Adversus futura schismata</w:t>
      </w:r>
      <w:r>
        <w:rPr>
          <w:rStyle w:val="Character7"/>
          <w:sz w:val="24"/>
          <w:szCs w:val="24"/>
          <w:color w:val="000000"/>
        </w:rPr>
        <w:t xml:space="preserve">, del famoso </w:t>
      </w:r>
      <w:r>
        <w:rPr>
          <w:rStyle w:val="Character8"/>
          <w:sz w:val="24"/>
          <w:szCs w:val="24"/>
          <w:color w:val="000000"/>
        </w:rPr>
        <w:t>Decretum Frequens</w:t>
      </w:r>
      <w:r>
        <w:rPr>
          <w:rStyle w:val="Character2"/>
          <w:sz w:val="16"/>
          <w:szCs w:val="16"/>
          <w:color w:val="000000"/>
        </w:rPr>
        <w:t>32</w:t>
      </w:r>
      <w:r>
        <w:rPr>
          <w:rStyle w:val="Character7"/>
          <w:sz w:val="24"/>
          <w:szCs w:val="24"/>
          <w:color w:val="000000"/>
        </w:rPr>
        <w:t xml:space="preserve">. Questo decreto fu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indubbiamente legittimo e valido, visto che il Concilio al momento della sua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emanazione era già - </w:t>
      </w:r>
      <w:r>
        <w:rPr>
          <w:rStyle w:val="Character7"/>
          <w:sz w:val="24"/>
          <w:szCs w:val="24"/>
          <w:color w:val="000000"/>
        </w:rPr>
        <w:t xml:space="preserve">grazie all’unione dell’obbedienza di Benedetto XIII con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l’assise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- un vero concilio ecumenico e quindi - sede vacante - titolare della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Suprema potestas</w:t>
      </w:r>
      <w:r>
        <w:rPr>
          <w:rStyle w:val="Character2"/>
          <w:sz w:val="16"/>
          <w:szCs w:val="16"/>
          <w:color w:val="000000"/>
        </w:rPr>
        <w:t>33</w:t>
      </w:r>
      <w:r>
        <w:rPr>
          <w:rStyle w:val="Character8"/>
          <w:sz w:val="24"/>
          <w:szCs w:val="24"/>
          <w:color w:val="000000"/>
        </w:rPr>
        <w:t>.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Perciò il pontefice eletto l’11 novembre 1417, Martino V, </w:t>
      </w:r>
    </w:p>
    <w:p>
      <w:pPr>
        <w:pStyle w:val="Para47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29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Konstanz</w:t>
      </w:r>
      <w:r>
        <w:rPr>
          <w:rStyle w:val="Character9"/>
          <w:sz w:val="19"/>
          <w:szCs w:val="19"/>
          <w:color w:val="000000"/>
        </w:rPr>
        <w:t xml:space="preserve">, II, cit., pp. 32-37.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30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F. COGNASSO</w:t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Enciclopedia dei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Papi, II, cit., pp. 640-643;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La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373-385.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31</w:t>
      </w:r>
      <w:r>
        <w:rPr>
          <w:rStyle w:val="Character9"/>
          <w:sz w:val="19"/>
          <w:szCs w:val="19"/>
          <w:color w:val="000000"/>
        </w:rPr>
        <w:t xml:space="preserve"> Per le perplessità canonistiche dello scisma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>Das Konzil von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Konstanz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I, 2ª ed., 1999, </w:t>
      </w:r>
      <w:r>
        <w:rPr>
          <w:rStyle w:val="Character12"/>
          <w:sz w:val="19"/>
          <w:szCs w:val="19"/>
          <w:color w:val="000000"/>
        </w:rPr>
        <w:t>passim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32</w:t>
      </w:r>
      <w:r>
        <w:rPr>
          <w:rStyle w:val="Character9"/>
          <w:sz w:val="19"/>
          <w:szCs w:val="19"/>
          <w:color w:val="000000"/>
        </w:rPr>
        <w:t xml:space="preserve"> Vedi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analisi e interpretazione di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, II, cit., pp. 337-355.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33</w:t>
      </w:r>
      <w:r>
        <w:rPr>
          <w:rStyle w:val="Character9"/>
          <w:sz w:val="19"/>
          <w:szCs w:val="19"/>
          <w:color w:val="000000"/>
        </w:rPr>
        <w:t xml:space="preserve"> La mancanza di norme canoniche applicabili alla situazione dello scisma rese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necessario il ricorso all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essenziale della dottrina ecclesiologica, e a un certo pragmatismo.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9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senza esitazione ne dette esecuzione</w:t>
      </w:r>
      <w:r>
        <w:rPr>
          <w:rStyle w:val="Character2"/>
          <w:sz w:val="16"/>
          <w:szCs w:val="16"/>
          <w:color w:val="000000"/>
        </w:rPr>
        <w:t>34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Lo fece pienamente consapevole del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fatto che il decreto conteneva delle norme che il papa avrebbe dovuto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eseguire. I papi, dunque, dovevano convocare </w:t>
      </w:r>
      <w:r>
        <w:rPr>
          <w:rStyle w:val="Character7"/>
          <w:sz w:val="24"/>
          <w:szCs w:val="24"/>
          <w:color w:val="000000"/>
        </w:rPr>
        <w:t>–</w:t>
      </w:r>
      <w:r>
        <w:rPr>
          <w:rStyle w:val="Character7"/>
          <w:sz w:val="24"/>
          <w:szCs w:val="24"/>
          <w:color w:val="000000"/>
        </w:rPr>
        <w:t xml:space="preserve"> con scadenze definite </w:t>
      </w:r>
      <w:r>
        <w:rPr>
          <w:rStyle w:val="Character7"/>
          <w:sz w:val="24"/>
          <w:szCs w:val="24"/>
          <w:color w:val="000000"/>
        </w:rPr>
        <w:t>–</w:t>
      </w:r>
      <w:r>
        <w:rPr>
          <w:rStyle w:val="Character7"/>
          <w:sz w:val="24"/>
          <w:szCs w:val="24"/>
          <w:color w:val="000000"/>
        </w:rPr>
        <w:t xml:space="preserve"> dei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concili, dovevano convocare il successivo almeno un mese prima della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chiusura del precedente e designarne il luogo. Non potevano prorogarne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data, non dovevano cambiare il luogo senza serio motivo, etc.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Erano queste norme compatibili con le prerogative primaziali? È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pensabile che lo stesso Martino V, che aveva vissuto tutta la problematica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dello scisma abbia errato nella fede riconoscendo come valido il </w:t>
      </w:r>
      <w:r>
        <w:rPr>
          <w:rStyle w:val="Character8"/>
          <w:sz w:val="24"/>
          <w:szCs w:val="24"/>
          <w:color w:val="000000"/>
        </w:rPr>
        <w:t>Frequens</w:t>
      </w:r>
      <w:r>
        <w:rPr>
          <w:rStyle w:val="Character2"/>
          <w:sz w:val="16"/>
          <w:szCs w:val="16"/>
          <w:color w:val="000000"/>
        </w:rPr>
        <w:t>35</w:t>
      </w:r>
      <w:r>
        <w:rPr>
          <w:rStyle w:val="Character7"/>
          <w:sz w:val="24"/>
          <w:szCs w:val="24"/>
          <w:color w:val="000000"/>
        </w:rPr>
        <w:t xml:space="preserve">?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 niente. Gli stessi padri di Costanza sapevano - come anche noi sappiamo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- che il papa può sempre de-, ab-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od obrogare qualsiasi legge disciplinare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mere ecclesiastica</w:t>
      </w:r>
      <w:r>
        <w:rPr>
          <w:rStyle w:val="Character7"/>
          <w:sz w:val="24"/>
          <w:szCs w:val="24"/>
          <w:color w:val="000000"/>
        </w:rPr>
        <w:t xml:space="preserve">. Ciononostante formularono il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Frequens</w:t>
      </w:r>
      <w:r>
        <w:rPr>
          <w:rStyle w:val="Character7"/>
          <w:sz w:val="24"/>
          <w:szCs w:val="24"/>
          <w:color w:val="000000"/>
        </w:rPr>
        <w:t xml:space="preserve"> consapevoli della </w:t>
      </w:r>
    </w:p>
    <w:p>
      <w:pPr>
        <w:pStyle w:val="Para1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sua forza vincolante relativa. Fu, perciò, il decreto inutile? Niente affatto,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perché anche una legge di quel tipo non è inefficiente. Resta sempre un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consiglio, un suggerimento o un’esortazione che neppure il papa può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trascurare arbitrariamente. Ci vuole sempre una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causa iusta</w:t>
      </w:r>
      <w:r>
        <w:rPr>
          <w:rStyle w:val="Character7"/>
          <w:sz w:val="24"/>
          <w:szCs w:val="24"/>
          <w:color w:val="000000"/>
        </w:rPr>
        <w:t xml:space="preserve"> per farlo.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Proprio per questo i successori di Martino V, superata la crisi ecclesiologica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 ‘400, non attuarono più il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Frequens</w:t>
      </w:r>
      <w:r>
        <w:rPr>
          <w:rStyle w:val="Character7"/>
          <w:sz w:val="24"/>
          <w:szCs w:val="24"/>
          <w:color w:val="000000"/>
        </w:rPr>
        <w:t xml:space="preserve">, nel frattempo obsoleto. In casi del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genere i livelli giuridico e teologico si sovrappongono a vicenda e, per il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b</w:t>
      </w:r>
      <w:r>
        <w:rPr>
          <w:rStyle w:val="Character7"/>
          <w:sz w:val="24"/>
          <w:szCs w:val="24"/>
          <w:color w:val="000000"/>
        </w:rPr>
        <w:t xml:space="preserve">ene spirituale della Chiesa, l’uno dev’essere integrato con l’altro, affinché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non si arrivi al </w:t>
      </w:r>
      <w:r>
        <w:rPr>
          <w:rStyle w:val="Character8"/>
          <w:sz w:val="24"/>
          <w:szCs w:val="24"/>
          <w:color w:val="000000"/>
        </w:rPr>
        <w:t>summum ius-summa iniuria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2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4"/>
          <w:sz w:val="24"/>
          <w:szCs w:val="24"/>
          <w:color w:val="000000"/>
        </w:rPr>
        <w:t xml:space="preserve">5 -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Sembra, quindi, che un futuro regolamento giuridico della rinuncia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papale non potrebbe prescindere da questa prospettiva. Innanzitutto, però,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va preso in considerazione -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data l’eccezionalità della rinuncia papale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- il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pericolo di uno scisma. Una legislazione futura, però, è tanto più difficile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quanto la figura di un papa emerito è estranea a tutta la tradizione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canonistica-teologica. Comunque la rinuncia del papa è possibile (can. 332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§ 2). Ciò non significa che sia senz’altro anche moralmente lecita. Per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liceità, invece, ci vogliono motivi oggettivi, istituzionali, orientati verso il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bonum commune Ecclesiae</w:t>
      </w:r>
      <w:r>
        <w:rPr>
          <w:rStyle w:val="Character7"/>
          <w:sz w:val="24"/>
          <w:szCs w:val="24"/>
          <w:color w:val="000000"/>
        </w:rPr>
        <w:t>, non motivi personali</w:t>
      </w:r>
      <w:r>
        <w:rPr>
          <w:rStyle w:val="Character2"/>
          <w:sz w:val="16"/>
          <w:szCs w:val="16"/>
          <w:color w:val="000000"/>
        </w:rPr>
        <w:t>36</w:t>
      </w:r>
      <w:r>
        <w:rPr>
          <w:rStyle w:val="Character7"/>
          <w:sz w:val="24"/>
          <w:szCs w:val="24"/>
          <w:color w:val="000000"/>
        </w:rPr>
        <w:t xml:space="preserve">. Come esempio di rinuncia </w:t>
      </w:r>
    </w:p>
    <w:p>
      <w:pPr>
        <w:pStyle w:val="Para20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34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Das Konzil von Pavia-Siena 1423-1424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II, Quellen, Münster,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1974, p. 29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(Bulla di convocazione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Cupientes ac etiam volentes</w:t>
      </w:r>
      <w:r>
        <w:rPr>
          <w:rStyle w:val="Character9"/>
          <w:sz w:val="19"/>
          <w:szCs w:val="19"/>
          <w:color w:val="000000"/>
        </w:rPr>
        <w:t xml:space="preserve"> di Martino V). Per la storia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dell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assise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ID.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Il Concilio di Pavia-Siena 1423-1424. Verso la crisi del conciliarismo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Siena,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2004.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35</w:t>
      </w:r>
      <w:r>
        <w:rPr>
          <w:rStyle w:val="Character9"/>
          <w:sz w:val="19"/>
          <w:szCs w:val="19"/>
          <w:color w:val="000000"/>
        </w:rPr>
        <w:t xml:space="preserve"> Per 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interpretazione del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Frequens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Konstanz</w:t>
      </w:r>
      <w:r>
        <w:rPr>
          <w:rStyle w:val="Character9"/>
          <w:sz w:val="19"/>
          <w:szCs w:val="19"/>
          <w:color w:val="000000"/>
        </w:rPr>
        <w:t xml:space="preserve">, II, Paderborn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etc., 1997, pp. 335-358.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36</w:t>
      </w:r>
      <w:r>
        <w:rPr>
          <w:rStyle w:val="Character9"/>
          <w:sz w:val="19"/>
          <w:szCs w:val="19"/>
          <w:color w:val="000000"/>
        </w:rPr>
        <w:t xml:space="preserve"> I decretisti avevano ammessi per la rinuncia motivi personali - per esempio, desiderio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di vita monastica (cfr.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49-61). A proposito della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10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nel caso ricordato prima, si può addurre quella di Gregorio XII, fatta nel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1415 per mettere fine allo scisma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37</w:t>
      </w:r>
      <w:r>
        <w:rPr>
          <w:rStyle w:val="Character7"/>
          <w:sz w:val="24"/>
          <w:szCs w:val="24"/>
          <w:color w:val="000000"/>
        </w:rPr>
        <w:t>. Pure Pio VII</w:t>
      </w:r>
      <w:r>
        <w:rPr>
          <w:rStyle w:val="Character2"/>
          <w:sz w:val="16"/>
          <w:szCs w:val="16"/>
          <w:color w:val="000000"/>
        </w:rPr>
        <w:t>38</w:t>
      </w:r>
      <w:r>
        <w:rPr>
          <w:rStyle w:val="Character7"/>
          <w:sz w:val="24"/>
          <w:szCs w:val="24"/>
          <w:color w:val="000000"/>
        </w:rPr>
        <w:t xml:space="preserve"> e Pio XII</w:t>
      </w:r>
      <w:r>
        <w:rPr>
          <w:rStyle w:val="Character2"/>
          <w:sz w:val="16"/>
          <w:szCs w:val="16"/>
          <w:color w:val="000000"/>
        </w:rPr>
        <w:t>39</w:t>
      </w:r>
      <w:r>
        <w:rPr>
          <w:rStyle w:val="Character7"/>
          <w:sz w:val="24"/>
          <w:szCs w:val="24"/>
          <w:color w:val="000000"/>
        </w:rPr>
        <w:t xml:space="preserve"> prepararono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delle bolle di rinuncia per l’eventuale prigionia a opera di Napoleone o di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Hitler.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Dal punto di vista pastorale, invece, sembra particolarmente urgente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combattere l’errore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- ampiamente diffusosi nella situazione creata con 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rinuncia di Benedetto XVI - di ritenere che attraverso la rinuncia, il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Ministero del Successore di Pietro sia spogliato del suo carattere unico 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sacro e messo sullo stesso piano di funzioni democratiche temporanee. 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Oggi è urgente il pericolo che questa comprensione secolare-politica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 Papato porti al punto che d’ora in poi possano essere indirizzate a un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Papa, similmente come a detentori di cariche secolari, richieste di dimettersi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quando la persona del Papa o il suo esercizio dell’Ufficio incontra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opposizione.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Occorrono intense riflessioni su quali convenzioni di linguaggio e/o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quali gesti simbolici, ecc., siano necessari per fare fronte agli evidenti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pericoli e per l’unità della Chiesa.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Magari non sarebbe inutile accennare in qualche forma a questo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punto particolare, in un futuro testo legislativo.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Come già detto, la rinuncia di un papa presuppone - e al contempo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crea - una situazione ecclesiale pericolosissima. Non mancano in questo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momento persone o gruppi seguaci del papa rinunciatario i quali, scontenti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dell’accaduto, potrebbero minacciare l’unità della Chiesa e persino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provocare uno scisma. Sembra, quindi, che un futuro regolamento giuridico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della rinuncia papale non possa prescindere da questa prospettiva.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ogni modo nella situazione precaria di una rinuncia papale è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necessaria la scelta della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via tutior</w:t>
      </w:r>
      <w:r>
        <w:rPr>
          <w:rStyle w:val="Character7"/>
          <w:sz w:val="24"/>
          <w:szCs w:val="24"/>
          <w:color w:val="000000"/>
        </w:rPr>
        <w:t xml:space="preserve">. Lasciare, invece, scoperta la notevole </w:t>
      </w:r>
    </w:p>
    <w:p>
      <w:pPr>
        <w:pStyle w:val="Para1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lacuna legis</w:t>
      </w:r>
      <w:r>
        <w:rPr>
          <w:rStyle w:val="Character7"/>
          <w:sz w:val="24"/>
          <w:szCs w:val="24"/>
          <w:color w:val="000000"/>
        </w:rPr>
        <w:t xml:space="preserve"> per ora esistente non significa altro che aumentare le incertezze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 un momento pericoloso e di vitale importanza per la Chiesa. 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Anzitutto ha bisogno d’integrazione il can. 332 § 2, che stabilisce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soltanto che la rinuncia del Papa all’ufficio “libere fiat et rite manifestetur”.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Il riferimento - ovvio - ai cann. 185 e 186 che regolano generalmente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rinuncia a un ufficio ecclesiastico non è adatto al caso eccezionale della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rinuncia del Papa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40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Inoltre non basta la semplice dichiarazione della </w:t>
      </w:r>
    </w:p>
    <w:p>
      <w:pPr>
        <w:pStyle w:val="Para48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iusta causa</w:t>
      </w:r>
      <w:r>
        <w:rPr>
          <w:rStyle w:val="Character9"/>
          <w:sz w:val="19"/>
          <w:szCs w:val="19"/>
          <w:color w:val="000000"/>
        </w:rPr>
        <w:t xml:space="preserve"> si veda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ivi</w:t>
      </w:r>
      <w:r>
        <w:rPr>
          <w:rStyle w:val="Character9"/>
          <w:sz w:val="19"/>
          <w:szCs w:val="19"/>
          <w:color w:val="000000"/>
        </w:rPr>
        <w:t xml:space="preserve">, pp. 116-128 - dove si tratta soltanto di vescovi, non però del papa.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37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Konstanz</w:t>
      </w:r>
      <w:r>
        <w:rPr>
          <w:rStyle w:val="Character9"/>
          <w:sz w:val="19"/>
          <w:szCs w:val="19"/>
          <w:color w:val="000000"/>
        </w:rPr>
        <w:t xml:space="preserve">, I, cit., pp. 311-321.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38</w:t>
      </w:r>
      <w:r>
        <w:rPr>
          <w:rStyle w:val="Character9"/>
          <w:sz w:val="19"/>
          <w:szCs w:val="19"/>
          <w:color w:val="000000"/>
        </w:rPr>
        <w:t xml:space="preserve"> Cfr. nota 9.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39</w:t>
      </w:r>
      <w:r>
        <w:rPr>
          <w:rStyle w:val="Character9"/>
          <w:sz w:val="19"/>
          <w:szCs w:val="19"/>
          <w:color w:val="000000"/>
        </w:rPr>
        <w:t xml:space="preserve"> Cfr. nota 10.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40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p. 397, nota 33, che osserva bene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l</w:t>
      </w:r>
      <w:r>
        <w:rPr>
          <w:rStyle w:val="Character9"/>
          <w:sz w:val="19"/>
          <w:szCs w:val="19"/>
          <w:color w:val="000000"/>
        </w:rPr>
        <w:t>’</w:t>
      </w:r>
      <w:r>
        <w:rPr>
          <w:rStyle w:val="Character9"/>
          <w:sz w:val="19"/>
          <w:szCs w:val="19"/>
          <w:color w:val="000000"/>
        </w:rPr>
        <w:t xml:space="preserve">indeterminatezza del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“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rite manifestetur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” </w:t>
      </w:r>
      <w:r>
        <w:rPr>
          <w:rStyle w:val="Character9"/>
          <w:sz w:val="19"/>
          <w:szCs w:val="19"/>
          <w:color w:val="000000"/>
        </w:rPr>
        <w:t xml:space="preserve">del canone.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11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persona interessata di rinunciare liberamente, perché a seconda delle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circostanze quella dichiarazione facilmente potrà essere forzata e quindi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rinuncia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invalida. Da tali situazioni può nascere uno scisma. È, quindi,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indispensabile stabilire la modalità per accertar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e l’effettiva libertà dell’atto.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Non basta il richiamo all’atto valido fino a prova contraria, perché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-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trattandosi del Papa - 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alla rinuncia deve seguire subito l’elezione del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successore. Se, in questo caso, fatta l’elezione si presentassero delle prove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della mancata libertà della rinuncia le conseguenze sarebbero disastrose. La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libertà dell’atto di rinuncia dovrebbe essere confermata, ad esempio, dalla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dichiarazione dei capi dei tre ordini cardinalizi.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Infatti, si solleva in tale contesto pure la questione di un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coinvolgimento del Collegio cardinalizio nella rinuncia papale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41</w:t>
      </w:r>
      <w:r>
        <w:rPr>
          <w:rStyle w:val="Character7"/>
          <w:sz w:val="24"/>
          <w:szCs w:val="24"/>
          <w:color w:val="000000"/>
        </w:rPr>
        <w:t xml:space="preserve">. Già nel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caso di San Celestino V i canonisti discutevano su questo problema. Un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trattato anonimo attribuì ai cardinali persino la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approbatio</w:t>
      </w:r>
      <w:r>
        <w:rPr>
          <w:rStyle w:val="Character7"/>
          <w:sz w:val="24"/>
          <w:szCs w:val="24"/>
          <w:color w:val="000000"/>
        </w:rPr>
        <w:t xml:space="preserve"> della sentenza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emanata dal Papa su se stesso:  </w:t>
      </w:r>
    </w:p>
    <w:p>
      <w:pPr>
        <w:pStyle w:val="Para43"/>
      </w:pP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“… quando etiam collegium cardinalium expressa voluntate et </w:t>
      </w:r>
    </w:p>
    <w:p>
      <w:pPr>
        <w:pStyle w:val="Para3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consensu approbat eius (s. papae) iudicium de sua renuntiatione et </w:t>
      </w:r>
    </w:p>
    <w:p>
      <w:pPr>
        <w:pStyle w:val="Para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 xml:space="preserve">admittit [!!] eius renuntiationem, tunc potest Romanus pontifex </w:t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5"/>
          <w:sz w:val="22"/>
          <w:szCs w:val="22"/>
          <w:color w:val="000000"/>
        </w:rPr>
        <w:t>renuntiare libere oneri et honori”</w:t>
      </w:r>
      <w:r>
        <w:rPr>
          <w:rStyle w:val="Character14"/>
          <w:sz w:val="13"/>
          <w:szCs w:val="13"/>
          <w:color w:val="000000"/>
        </w:rPr>
        <w:t>42</w:t>
      </w:r>
      <w:r>
        <w:rPr>
          <w:rStyle w:val="Character5"/>
          <w:sz w:val="22"/>
          <w:szCs w:val="22"/>
          <w:color w:val="000000"/>
        </w:rPr>
        <w:t xml:space="preserve">.  </w:t>
      </w:r>
    </w:p>
    <w:p>
      <w:pPr>
        <w:pStyle w:val="Para43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Comunque questo tentativo di coinvolgere in tale modo il Collegio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cardinalizio in quell’atto di rinuncia e al contempo salvaguardare 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plenitudo potestatis</w:t>
      </w:r>
      <w:r>
        <w:rPr>
          <w:rStyle w:val="Character7"/>
          <w:sz w:val="24"/>
          <w:szCs w:val="24"/>
          <w:color w:val="000000"/>
        </w:rPr>
        <w:t xml:space="preserve"> del Papa non è riuscito. La stessa decretale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Quoniam</w:t>
      </w:r>
      <w:r>
        <w:rPr>
          <w:rStyle w:val="Character7"/>
          <w:sz w:val="24"/>
          <w:szCs w:val="24"/>
          <w:color w:val="000000"/>
        </w:rPr>
        <w:t xml:space="preserve"> di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Bonifacio VIII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43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, invece, evidenzia il ruolo dei cardinali nella rinuncia del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Papa sottolineando che Celestino abbia preso la decisione di dimettersi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“deliberatione habita cum suis fratribus cardinalibus … de nostro et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ipsorum omnium concordi consilio et assensu”. Questo ruolo dei cardinali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trova un suo fondamento pure nella prassi dei papi i quali a partire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dall’undicesimo secolo in molti importanti documenti usarono la formula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“</w:t>
      </w:r>
      <w:r>
        <w:rPr>
          <w:rStyle w:val="Character8"/>
          <w:sz w:val="24"/>
          <w:szCs w:val="24"/>
          <w:color w:val="000000"/>
        </w:rPr>
        <w:t>de fratrum nostrorum consilio”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44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.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 ciò corrisponderà l’uso della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sottoscrizione dei cardinali “</w:t>
      </w:r>
      <w:r>
        <w:rPr>
          <w:rStyle w:val="Character8"/>
          <w:sz w:val="24"/>
          <w:szCs w:val="24"/>
          <w:color w:val="000000"/>
        </w:rPr>
        <w:t>qui actui interfuerunt”</w:t>
      </w:r>
      <w:r>
        <w:rPr>
          <w:rStyle w:val="Character7"/>
          <w:sz w:val="24"/>
          <w:szCs w:val="24"/>
          <w:color w:val="000000"/>
        </w:rPr>
        <w:t xml:space="preserve"> sui documenti relativi</w:t>
      </w:r>
      <w:r>
        <w:rPr>
          <w:rStyle w:val="Character2"/>
          <w:sz w:val="16"/>
          <w:szCs w:val="16"/>
          <w:color w:val="000000"/>
        </w:rPr>
        <w:t>45</w:t>
      </w:r>
      <w:r>
        <w:rPr>
          <w:rStyle w:val="Character7"/>
          <w:sz w:val="24"/>
          <w:szCs w:val="24"/>
          <w:color w:val="000000"/>
        </w:rPr>
        <w:t xml:space="preserve">.  </w:t>
      </w:r>
    </w:p>
    <w:p>
      <w:pPr>
        <w:pStyle w:val="Para49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41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M. WILKS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The Problem of Souvereignty in the Later Middle Ages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Cambridge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Univesity Press, Cambridge, 1964, pp. 482-487 e 492.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42</w:t>
      </w:r>
      <w:r>
        <w:rPr>
          <w:rStyle w:val="Character9"/>
          <w:sz w:val="19"/>
          <w:szCs w:val="19"/>
          <w:color w:val="000000"/>
        </w:rPr>
        <w:t xml:space="preserve"> Cfr.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 xml:space="preserve"> M. BERTRAM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Zwei handschriftliche Quaestionen über die Papstabdankung in der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Pariser Nationalbibliothek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Zeitschrift der Savigny-Stiftung für Rechtsgeschichte kan. Abt.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55 </w:t>
      </w:r>
    </w:p>
    <w:p>
      <w:pPr>
        <w:pStyle w:val="Para19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(1969), pp. 446-457.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43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Corp. I. C. 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1.7.1 in VI.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44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H. BRESSLAU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>,</w:t>
      </w:r>
      <w:r>
        <w:rPr>
          <w:rStyle w:val="Character11"/>
          <w:sz w:val="19"/>
          <w:szCs w:val="19"/>
          <w:color w:val="000000"/>
        </w:rPr>
        <w:t xml:space="preserve"> H.W. KLEWITZ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>Handbuch der Urkundenlehre</w:t>
      </w:r>
      <w:r>
        <w:rPr>
          <w:rStyle w:val="Character9"/>
          <w:sz w:val="19"/>
          <w:szCs w:val="19"/>
          <w:color w:val="000000"/>
        </w:rPr>
        <w:t xml:space="preserve">, II, Leipzig, 2ª ed.,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1981, pp. 50-57.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45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H. BRESSLAU</w:t>
      </w:r>
      <w:r>
        <w:rPr>
          <w:rStyle w:val="Character9"/>
          <w:sz w:val="19"/>
          <w:szCs w:val="19"/>
          <w:color w:val="000000"/>
        </w:rPr>
        <w:t>,</w:t>
      </w:r>
      <w:r>
        <w:rPr>
          <w:rStyle w:val="Character11"/>
          <w:sz w:val="19"/>
          <w:szCs w:val="19"/>
          <w:color w:val="000000"/>
        </w:rPr>
        <w:t xml:space="preserve"> H.W. KLEWITZ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Handbuch der Urkundenlehre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cit., pp. 50-57.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12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Ancora oggi - per esempio - prima di canonizzare i Santi i singoli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cardinali vengono invitati a esprimere i loro voti a proposito.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Lo stesso San Giovanni Paolo II, invece, parlò addirittura di nuovo -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cosa problematica, anzi impossibile - di sottomettere </w:t>
      </w:r>
      <w:r>
        <w:rPr>
          <w:rStyle w:val="Character7"/>
          <w:sz w:val="24"/>
          <w:szCs w:val="24"/>
          <w:color w:val="000000"/>
        </w:rPr>
        <w:t xml:space="preserve">un’eventuale rinuncia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al giudizio dei cardinali</w:t>
      </w:r>
      <w:r>
        <w:rPr>
          <w:rStyle w:val="Character2"/>
          <w:sz w:val="16"/>
          <w:szCs w:val="16"/>
          <w:color w:val="000000"/>
        </w:rPr>
        <w:t>46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Certamente nel caso di un’eventuale rinuncia la proposta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dell’audizione 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- nella forma da stabilire - non può essere una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 xml:space="preserve">conditio sine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qua non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 la validità dell’atto del Pontefice. Ma anche se si trattasse di una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venerabile consuetudine o prassi non potrebbe essere facilmente trascurata.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Per tutto ciò è necessaria e urgente una legislazione complementare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che definisca e regoli: </w:t>
      </w:r>
    </w:p>
    <w:p>
      <w:pPr>
        <w:pStyle w:val="Para42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1. Lo </w:t>
      </w:r>
      <w:r>
        <w:rPr>
          <w:rStyle w:val="Character8"/>
          <w:sz w:val="24"/>
          <w:szCs w:val="24"/>
          <w:color w:val="000000"/>
        </w:rPr>
        <w:tab/>
      </w:r>
      <w:r>
        <w:rPr>
          <w:rStyle w:val="Character8"/>
          <w:sz w:val="24"/>
          <w:szCs w:val="24"/>
          <w:color w:val="000000"/>
        </w:rPr>
        <w:t>status</w:t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dell’ex</w:t>
      </w:r>
      <w:r>
        <w:rPr>
          <w:rStyle w:val="Character7"/>
          <w:sz w:val="24"/>
          <w:szCs w:val="24"/>
          <w:color w:val="000000"/>
        </w:rPr>
        <w:t xml:space="preserve">-papa. Nella storia si possono ritrovare, se non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proprio dei precedenti ma dei casi analoghi per una soluzione. Gli antipapi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Giovanni XXIII (Baldassare Cossa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47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>) e Felice V (Amadeo di Savoia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48</w:t>
      </w:r>
      <w:r>
        <w:rPr>
          <w:rStyle w:val="Character7"/>
          <w:sz w:val="24"/>
          <w:szCs w:val="24"/>
          <w:color w:val="000000"/>
        </w:rPr>
        <w:t xml:space="preserve">) dopo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la loro riconciliazione vennero subito creati cardinali. Analogamente, dopo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la sua rinuncia un ex-papa subito potrebbe essere creato cardinale, ma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certamente senza diritto elettorale attivo o passivo.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2. Pure la denominazione del dimissionario dev’essere definita. Per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evitare l’apparenza dell’esistenza di d</w:t>
      </w:r>
      <w:r>
        <w:rPr>
          <w:rStyle w:val="Character7"/>
          <w:sz w:val="24"/>
          <w:szCs w:val="24"/>
          <w:color w:val="000000"/>
        </w:rPr>
        <w:t xml:space="preserve"/>
      </w:r>
      <w:r>
        <w:rPr>
          <w:rStyle w:val="Character7"/>
          <w:sz w:val="24"/>
          <w:szCs w:val="24"/>
          <w:color w:val="000000"/>
        </w:rPr>
        <w:t xml:space="preserve">ue papi pare conveniente riprendere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il nome di famiglia. Sotto lo stesso profilo andrebbe regolato il vestito.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3. Di non poca importanza è anche il domicilio da assegnargli e il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sostentamento del dimissionario.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4. Un problema particolare è il regolamento degli eventuali suoi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contatti sociali e mediatici, in modo tale che da una parte venga rispettata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la sua dignità personale, dall’altra venga escluso ogni pericolo per l’unità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della Chiesa.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6. Alla fine ci vorrebbe pure un cerimoniale per il defunto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dimissionario che non può essere quello previsto per un papa. </w:t>
      </w:r>
    </w:p>
    <w:p>
      <w:pPr>
        <w:pStyle w:val="Para43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Questi sarebbero dei punti da chiarire </w:t>
      </w:r>
      <w:r>
        <w:rPr>
          <w:rStyle w:val="Character8"/>
          <w:sz w:val="24"/>
          <w:szCs w:val="24"/>
          <w:color w:val="000000"/>
        </w:rPr>
        <w:t xml:space="preserve"/>
      </w:r>
      <w:r>
        <w:rPr>
          <w:rStyle w:val="Character8"/>
          <w:sz w:val="24"/>
          <w:szCs w:val="24"/>
          <w:color w:val="000000"/>
        </w:rPr>
        <w:t>de lege ferenda</w:t>
      </w:r>
      <w:r>
        <w:rPr>
          <w:rStyle w:val="Character7"/>
          <w:sz w:val="24"/>
          <w:szCs w:val="24"/>
          <w:color w:val="000000"/>
        </w:rPr>
        <w:t xml:space="preserve">. </w:t>
      </w:r>
    </w:p>
    <w:p>
      <w:pPr>
        <w:pStyle w:val="Para2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Occorrerebbe, comunque, una visione teologica e canonistica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approfondita del ministero Petrino, atta a suscitare nei fedeli una vera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venerazione del Ministero e della persona del Sommo Pontefice successore </w:t>
      </w: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dell’apostolo San Pietro, motivata da autentica fede.</w:t>
      </w:r>
    </w:p>
    <w:p>
      <w:pPr>
        <w:pStyle w:val="Para50"/>
      </w:pPr>
    </w:p>
    <w:p>
      <w:pPr>
        <w:pStyle w:val="Para16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46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V. GIGLIOTTI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>La tiara deposta</w:t>
      </w:r>
      <w:r>
        <w:rPr>
          <w:rStyle w:val="Character9"/>
          <w:sz w:val="19"/>
          <w:szCs w:val="19"/>
          <w:color w:val="000000"/>
        </w:rPr>
        <w:t xml:space="preserve">, cit., p. 399. </w:t>
      </w:r>
    </w:p>
    <w:p>
      <w:pPr>
        <w:pStyle w:val="Para3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47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W. BRANDMÜLLER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Konstanz</w:t>
      </w:r>
      <w:r>
        <w:rPr>
          <w:rStyle w:val="Character9"/>
          <w:sz w:val="19"/>
          <w:szCs w:val="19"/>
          <w:color w:val="000000"/>
        </w:rPr>
        <w:t xml:space="preserve">, I, cit., pp. 307-310; </w:t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ab/>
      </w:r>
      <w:r>
        <w:rPr>
          <w:rStyle w:val="Character11"/>
          <w:sz w:val="19"/>
          <w:szCs w:val="19"/>
          <w:color w:val="000000"/>
        </w:rPr>
        <w:t>F.-Ch. UGINET</w:t>
      </w:r>
      <w:r>
        <w:rPr>
          <w:rStyle w:val="Character9"/>
          <w:sz w:val="19"/>
          <w:szCs w:val="19"/>
          <w:color w:val="000000"/>
        </w:rPr>
        <w:t xml:space="preserve">, in </w:t>
      </w:r>
    </w:p>
    <w:p>
      <w:pPr>
        <w:pStyle w:val="Para17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II, cit., pp. 614-618.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48</w:t>
      </w:r>
      <w:r>
        <w:rPr>
          <w:rStyle w:val="Character9"/>
          <w:sz w:val="19"/>
          <w:szCs w:val="19"/>
          <w:color w:val="000000"/>
        </w:rPr>
        <w:t xml:space="preserve"> Cfr. </w:t>
      </w:r>
      <w:r>
        <w:rPr>
          <w:rStyle w:val="Character11"/>
          <w:sz w:val="19"/>
          <w:szCs w:val="19"/>
          <w:color w:val="000000"/>
        </w:rPr>
        <w:t>F. COGNASSO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in </w:t>
      </w:r>
      <w:r>
        <w:rPr>
          <w:rStyle w:val="Character12"/>
          <w:sz w:val="19"/>
          <w:szCs w:val="19"/>
          <w:color w:val="000000"/>
        </w:rPr>
        <w:t>Enciclopedia dei Papi</w:t>
      </w:r>
      <w:r>
        <w:rPr>
          <w:rStyle w:val="Character9"/>
          <w:sz w:val="19"/>
          <w:szCs w:val="19"/>
          <w:color w:val="000000"/>
        </w:rPr>
        <w:t xml:space="preserve"/>
      </w:r>
      <w:r>
        <w:rPr>
          <w:rStyle w:val="Character9"/>
          <w:sz w:val="19"/>
          <w:szCs w:val="19"/>
          <w:color w:val="000000"/>
        </w:rPr>
        <w:t xml:space="preserve">, II, cit., pp. 640-643. </w:t>
      </w:r>
    </w:p>
    <w:p>
      <w:pPr>
        <w:pStyle w:val="Para29"/>
      </w:pPr>
    </w:p>
    <w:p>
      <w:pPr>
        <w:pStyle w:val="Para30"/>
        <w:sectPr>
          <w:pgSz w:w="11909" w:h="16838" w:orient="portrait" w:code="9"/>
          <w:pgMar w:top="0" w:right="0" w:bottom="0" w:left="0" w:header="851" w:footer="992" w:gutter="0"/>
          <w:docGrid w:linePitch="360" w:charSpace="200"/>
        </w:sectPr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13 </w:t>
      </w:r>
    </w:p>
    <w:p>
      <w:pPr>
        <w:pStyle w:val="Para20"/>
      </w:pPr>
      <w:r>
        <w:rPr>
          <w:noProof/>
        </w:rPr>
        <w:drawing>
          <wp:anchor distT="0" distB="0" distL="0" distR="0" simplePos="0" relativeHeight="251624961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30"/>
            <wp:effectExtent l="0" t="0" r="11909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2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24962" behindDoc="1" locked="0" layoutInCell="1" allowOverlap="1">
            <wp:simplePos x="0" y="0"/>
            <wp:positionH relativeFrom="page">
              <wp:posOffset>1292225</wp:posOffset>
            </wp:positionH>
            <wp:positionV relativeFrom="page">
              <wp:posOffset>448310</wp:posOffset>
            </wp:positionV>
            <wp:extent cx="4678680" cy="609600"/>
            <wp:effectExtent l="2035" t="706" r="7368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868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Para2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"/>
          <w:sz w:val="22"/>
          <w:szCs w:val="22"/>
          <w:color w:val="333333"/>
        </w:rPr>
        <w:t xml:space="preserve">Stato, Chiese e pluralismo confessionale </w:t>
      </w:r>
    </w:p>
    <w:p>
      <w:pPr>
        <w:pStyle w:val="Para22"/>
      </w:pPr>
    </w:p>
    <w:p>
      <w:pPr>
        <w:pStyle w:val="Para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Rivista telematica (</w:t>
      </w:r>
      <w:r>
        <w:rPr>
          <w:rStyle w:val="Character3"/>
          <w:sz w:val="16"/>
          <w:szCs w:val="16"/>
          <w:color w:val="000000"/>
        </w:rPr>
        <w:t>www.statoechiese.it</w:t>
      </w:r>
      <w:r>
        <w:rPr>
          <w:rStyle w:val="Character2"/>
          <w:sz w:val="16"/>
          <w:szCs w:val="16"/>
          <w:color w:val="000000"/>
        </w:rPr>
        <w:t xml:space="preserve">), n. 26/2016 </w:t>
      </w:r>
    </w:p>
    <w:p>
      <w:pPr>
        <w:pStyle w:val="Para23"/>
      </w:pPr>
    </w:p>
    <w:p>
      <w:pPr>
        <w:pStyle w:val="Para24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2"/>
          <w:sz w:val="16"/>
          <w:szCs w:val="16"/>
          <w:color w:val="000000"/>
        </w:rPr>
        <w:t>18 luglio 2016                                                                                                          ISSN 1971- 8543</w:t>
      </w:r>
    </w:p>
    <w:p>
      <w:pPr>
        <w:pStyle w:val="Para25"/>
      </w:pPr>
    </w:p>
    <w:p>
      <w:pPr>
        <w:pStyle w:val="Para11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 xml:space="preserve">Del resto, riprendendo il giudizio sopramenzionato: la rinuncia del </w:t>
      </w:r>
    </w:p>
    <w:p>
      <w:pPr>
        <w:pStyle w:val="Para13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7"/>
          <w:sz w:val="24"/>
          <w:szCs w:val="24"/>
          <w:color w:val="000000"/>
        </w:rPr>
        <w:t>papa è possibile e si è fatta. Ma è da sperare che non succeda mai più</w:t>
      </w:r>
      <w:r>
        <w:rPr>
          <w:rStyle w:val="Character2"/>
          <w:sz w:val="16"/>
          <w:szCs w:val="16"/>
          <w:color w:val="000000"/>
        </w:rPr>
        <w:t xml:space="preserve"/>
      </w:r>
      <w:r>
        <w:rPr>
          <w:rStyle w:val="Character2"/>
          <w:sz w:val="16"/>
          <w:szCs w:val="16"/>
          <w:color w:val="000000"/>
        </w:rPr>
        <w:t>49</w:t>
      </w:r>
      <w:r>
        <w:rPr>
          <w:rStyle w:val="Character7"/>
          <w:sz w:val="24"/>
          <w:szCs w:val="24"/>
          <w:color w:val="000000"/>
        </w:rPr>
        <w:t>.</w:t>
      </w:r>
    </w:p>
    <w:p>
      <w:pPr>
        <w:pStyle w:val="Para51"/>
      </w:pPr>
    </w:p>
    <w:p>
      <w:pPr>
        <w:pStyle w:val="Para45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0"/>
          <w:sz w:val="12"/>
          <w:szCs w:val="12"/>
          <w:color w:val="000000"/>
        </w:rPr>
        <w:t>49</w:t>
      </w:r>
      <w:r>
        <w:rPr>
          <w:rStyle w:val="Character9"/>
          <w:sz w:val="19"/>
          <w:szCs w:val="19"/>
          <w:color w:val="000000"/>
        </w:rPr>
        <w:t xml:space="preserve"> Non si può non condividere quanto scrive </w:t>
      </w:r>
      <w:r>
        <w:rPr>
          <w:rStyle w:val="Character11"/>
          <w:sz w:val="19"/>
          <w:szCs w:val="19"/>
          <w:color w:val="000000"/>
        </w:rPr>
        <w:t xml:space="preserve"/>
      </w:r>
      <w:r>
        <w:rPr>
          <w:rStyle w:val="Character11"/>
          <w:sz w:val="19"/>
          <w:szCs w:val="19"/>
          <w:color w:val="000000"/>
        </w:rPr>
        <w:t>G. BONI</w:t>
      </w:r>
      <w:r>
        <w:rPr>
          <w:rStyle w:val="Character9"/>
          <w:sz w:val="19"/>
          <w:szCs w:val="19"/>
          <w:color w:val="000000"/>
        </w:rPr>
        <w:t xml:space="preserve">, 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Rinuncia del sommo pontefice al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>munus petrinum, sedes romana vacans aut prorsus impedita</w:t>
      </w:r>
      <w:r>
        <w:rPr>
          <w:rStyle w:val="Character12"/>
          <w:sz w:val="19"/>
          <w:szCs w:val="19"/>
          <w:color w:val="000000"/>
        </w:rPr>
        <w:t xml:space="preserve"/>
      </w:r>
      <w:r>
        <w:rPr>
          <w:rStyle w:val="Character12"/>
          <w:sz w:val="19"/>
          <w:szCs w:val="19"/>
          <w:color w:val="000000"/>
        </w:rPr>
        <w:t xml:space="preserve">: tra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ius conditum </w:t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ab/>
      </w:r>
      <w:r>
        <w:rPr>
          <w:rStyle w:val="Character12"/>
          <w:sz w:val="19"/>
          <w:szCs w:val="19"/>
          <w:color w:val="000000"/>
        </w:rPr>
        <w:t xml:space="preserve">e </w:t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ius </w:t>
      </w:r>
    </w:p>
    <w:p>
      <w:pPr>
        <w:pStyle w:val="Para18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9"/>
          <w:sz w:val="19"/>
          <w:szCs w:val="19"/>
          <w:color w:val="000000"/>
        </w:rPr>
        <w:t xml:space="preserve">condendum, cit., p. 85. </w:t>
      </w:r>
    </w:p>
    <w:p>
      <w:pPr>
        <w:pStyle w:val="Para29"/>
      </w:pPr>
    </w:p>
    <w:p>
      <w:pPr>
        <w:pStyle w:val="Para30"/>
      </w:pP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0"/>
          <w:sz w:val="19"/>
          <w:szCs w:val="19"/>
          <w:color w:val="000000"/>
        </w:rPr>
        <w:tab/>
      </w:r>
      <w:r>
        <w:rPr>
          <w:rStyle w:val="Character13"/>
          <w:sz w:val="18"/>
          <w:szCs w:val="18"/>
          <w:color w:val="000000"/>
        </w:rPr>
        <w:t xml:space="preserve">14 </w:t>
      </w:r>
    </w:p>
    <w:sectPr>
      <w:pgSz w:w="11909" w:h="16838" w:orient="portrait" w:code="9"/>
      <w:pgMar w:top="0" w:right="0" w:bottom="0" w:left="0" w:header="851" w:footer="992" w:gutter="0"/>
      <w:docGrid w:linePitch="360" w:charSpace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Palatino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Cambria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24"/>
  <w:noPunctuationKerning/>
  <w:characterSpacingControl w:val="doNotCompress"/>
  <w:bordersDoNotSurroundHeader/>
  <w:bordersDoNotSurroundFooter/>
  <w:compat>
    <w:useFELayout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SimSun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SimSun" w:eastAsia="SimSun"/>
      <w:sz w:val="24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jc w:val="left"/>
      <w:wordWrap w:val="false"/>
      <w:ind w:left="0"/>
      <w:widowControl w:val="false"/>
      <w:rPr/>
    </w:pPr>
  </w:style>
  <w:style w:type="paragraph" w:customStyle="1" w:styleId="Para1">
    <w:name w:val="ParaAttribute1"/>
    <w:pPr>
      <w:spacing w:line="782" w:lineRule="exact"/>
      <w:jc w:val="left"/>
      <w:wordWrap w:val="false"/>
      <w:ind w:left="0"/>
      <w:widowControl w:val="false"/>
      <w:rPr/>
    </w:pPr>
  </w:style>
  <w:style w:type="paragraph" w:customStyle="1" w:styleId="Para2">
    <w:name w:val="ParaAttribute2"/>
    <w:pPr>
      <w:spacing w:line="274" w:lineRule="exact"/>
      <w:jc w:val="left"/>
      <w:wordWrap w:val="false"/>
      <w:ind w:left="0"/>
      <w:widowControl w:val="false"/>
      <w:rPr/>
    </w:pPr>
  </w:style>
  <w:style w:type="paragraph" w:customStyle="1" w:styleId="Para3">
    <w:name w:val="ParaAttribute3"/>
    <w:pPr>
      <w:spacing w:line="86" w:lineRule="exact"/>
      <w:jc w:val="left"/>
      <w:wordWrap w:val="false"/>
      <w:ind w:left="0"/>
      <w:widowControl w:val="false"/>
      <w:rPr/>
    </w:pPr>
  </w:style>
  <w:style w:type="paragraph" w:customStyle="1" w:styleId="Para4">
    <w:name w:val="ParaAttribute4"/>
    <w:pPr>
      <w:spacing w:line="197" w:lineRule="exact"/>
      <w:jc w:val="left"/>
      <w:wordWrap w:val="false"/>
      <w:ind w:left="0"/>
      <w:widowControl w:val="false"/>
      <w:rPr/>
    </w:pPr>
  </w:style>
  <w:style w:type="paragraph" w:customStyle="1" w:styleId="Para5">
    <w:name w:val="ParaAttribute5"/>
    <w:pPr>
      <w:spacing w:line="101" w:lineRule="exact"/>
      <w:jc w:val="left"/>
      <w:wordWrap w:val="false"/>
      <w:ind w:left="0"/>
      <w:widowControl w:val="false"/>
      <w:rPr/>
    </w:pPr>
  </w:style>
  <w:style w:type="paragraph" w:customStyle="1" w:styleId="Para6">
    <w:name w:val="ParaAttribute6"/>
    <w:pPr>
      <w:spacing w:line="201" w:lineRule="exact"/>
      <w:jc w:val="left"/>
      <w:wordWrap w:val="false"/>
      <w:ind w:left="0"/>
      <w:widowControl w:val="false"/>
      <w:rPr/>
    </w:pPr>
  </w:style>
  <w:style w:type="paragraph" w:customStyle="1" w:styleId="Para7">
    <w:name w:val="ParaAttribute7"/>
    <w:pPr>
      <w:spacing w:line="917" w:lineRule="exact"/>
      <w:jc w:val="left"/>
      <w:wordWrap w:val="false"/>
      <w:ind w:left="0"/>
      <w:widowControl w:val="false"/>
      <w:rPr/>
    </w:pPr>
  </w:style>
  <w:style w:type="paragraph" w:customStyle="1" w:styleId="Para8">
    <w:name w:val="ParaAttribute8"/>
    <w:pPr>
      <w:spacing w:line="283" w:lineRule="exact"/>
      <w:jc w:val="left"/>
      <w:wordWrap w:val="false"/>
      <w:ind w:left="0"/>
      <w:widowControl w:val="false"/>
      <w:rPr/>
    </w:pPr>
  </w:style>
  <w:style w:type="paragraph" w:customStyle="1" w:styleId="Para9">
    <w:name w:val="ParaAttribute9"/>
    <w:pPr>
      <w:spacing w:line="279" w:lineRule="exact"/>
      <w:jc w:val="left"/>
      <w:wordWrap w:val="false"/>
      <w:ind w:left="0"/>
      <w:widowControl w:val="false"/>
      <w:rPr/>
    </w:pPr>
  </w:style>
  <w:style w:type="paragraph" w:customStyle="1" w:styleId="Para10">
    <w:name w:val="ParaAttribute10"/>
    <w:pPr>
      <w:spacing w:line="604" w:lineRule="exact"/>
      <w:jc w:val="left"/>
      <w:wordWrap w:val="false"/>
      <w:ind w:left="0"/>
      <w:widowControl w:val="false"/>
      <w:rPr/>
    </w:pPr>
  </w:style>
  <w:style w:type="paragraph" w:customStyle="1" w:styleId="Para11">
    <w:name w:val="ParaAttribute11"/>
    <w:pPr>
      <w:spacing w:line="298" w:lineRule="exact"/>
      <w:jc w:val="left"/>
      <w:wordWrap w:val="false"/>
      <w:ind w:left="0"/>
      <w:widowControl w:val="false"/>
      <w:rPr/>
    </w:pPr>
  </w:style>
  <w:style w:type="paragraph" w:customStyle="1" w:styleId="Para12">
    <w:name w:val="ParaAttribute12"/>
    <w:pPr>
      <w:spacing w:line="600" w:lineRule="exact"/>
      <w:jc w:val="left"/>
      <w:wordWrap w:val="false"/>
      <w:ind w:left="0"/>
      <w:widowControl w:val="false"/>
      <w:rPr/>
    </w:pPr>
  </w:style>
  <w:style w:type="paragraph" w:customStyle="1" w:styleId="Para13">
    <w:name w:val="ParaAttribute13"/>
    <w:pPr>
      <w:spacing w:line="297" w:lineRule="exact"/>
      <w:jc w:val="left"/>
      <w:wordWrap w:val="false"/>
      <w:ind w:left="0"/>
      <w:widowControl w:val="false"/>
      <w:rPr/>
    </w:pPr>
  </w:style>
  <w:style w:type="paragraph" w:customStyle="1" w:styleId="Para14">
    <w:name w:val="ParaAttribute14"/>
    <w:pPr>
      <w:spacing w:line="303" w:lineRule="exact"/>
      <w:jc w:val="left"/>
      <w:wordWrap w:val="false"/>
      <w:ind w:left="0"/>
      <w:widowControl w:val="false"/>
      <w:rPr/>
    </w:pPr>
  </w:style>
  <w:style w:type="paragraph" w:customStyle="1" w:styleId="Para15">
    <w:name w:val="ParaAttribute15"/>
    <w:pPr>
      <w:spacing w:line="523" w:lineRule="exact"/>
      <w:jc w:val="left"/>
      <w:wordWrap w:val="false"/>
      <w:ind w:left="0"/>
      <w:widowControl w:val="false"/>
      <w:rPr/>
    </w:pPr>
  </w:style>
  <w:style w:type="paragraph" w:customStyle="1" w:styleId="Para16">
    <w:name w:val="ParaAttribute16"/>
    <w:pPr>
      <w:spacing w:line="245" w:lineRule="exact"/>
      <w:jc w:val="left"/>
      <w:wordWrap w:val="false"/>
      <w:ind w:left="0"/>
      <w:widowControl w:val="false"/>
      <w:rPr/>
    </w:pPr>
  </w:style>
  <w:style w:type="paragraph" w:customStyle="1" w:styleId="Para17">
    <w:name w:val="ParaAttribute17"/>
    <w:pPr>
      <w:spacing w:line="254" w:lineRule="exact"/>
      <w:jc w:val="left"/>
      <w:wordWrap w:val="false"/>
      <w:ind w:left="0"/>
      <w:widowControl w:val="false"/>
      <w:rPr/>
    </w:pPr>
  </w:style>
  <w:style w:type="paragraph" w:customStyle="1" w:styleId="Para18">
    <w:name w:val="ParaAttribute18"/>
    <w:pPr>
      <w:spacing w:line="250" w:lineRule="exact"/>
      <w:jc w:val="left"/>
      <w:wordWrap w:val="false"/>
      <w:ind w:left="0"/>
      <w:widowControl w:val="false"/>
      <w:rPr/>
    </w:pPr>
  </w:style>
  <w:style w:type="paragraph" w:customStyle="1" w:styleId="Para19">
    <w:name w:val="ParaAttribute19"/>
    <w:pPr>
      <w:spacing w:line="249" w:lineRule="exact"/>
      <w:jc w:val="left"/>
      <w:wordWrap w:val="false"/>
      <w:ind w:left="0"/>
      <w:widowControl w:val="false"/>
      <w:rPr/>
    </w:pPr>
  </w:style>
  <w:style w:type="paragraph" w:customStyle="1" w:styleId="Para20">
    <w:name w:val="ParaAttribute20"/>
    <w:pPr>
      <w:spacing w:line="763" w:lineRule="exact"/>
      <w:jc w:val="left"/>
      <w:wordWrap w:val="false"/>
      <w:ind w:left="0"/>
      <w:widowControl w:val="false"/>
      <w:rPr/>
    </w:pPr>
  </w:style>
  <w:style w:type="paragraph" w:customStyle="1" w:styleId="Para21">
    <w:name w:val="ParaAttribute21"/>
    <w:pPr>
      <w:spacing w:line="273" w:lineRule="exact"/>
      <w:jc w:val="left"/>
      <w:wordWrap w:val="false"/>
      <w:ind w:left="0"/>
      <w:widowControl w:val="false"/>
      <w:rPr/>
    </w:pPr>
  </w:style>
  <w:style w:type="paragraph" w:customStyle="1" w:styleId="Para22">
    <w:name w:val="ParaAttribute22"/>
    <w:pPr>
      <w:spacing w:line="87" w:lineRule="exact"/>
      <w:jc w:val="left"/>
      <w:wordWrap w:val="false"/>
      <w:ind w:left="0"/>
      <w:widowControl w:val="false"/>
      <w:rPr/>
    </w:pPr>
  </w:style>
  <w:style w:type="paragraph" w:customStyle="1" w:styleId="Para23">
    <w:name w:val="ParaAttribute23"/>
    <w:pPr>
      <w:spacing w:line="100" w:lineRule="exact"/>
      <w:jc w:val="left"/>
      <w:wordWrap w:val="false"/>
      <w:ind w:left="0"/>
      <w:widowControl w:val="false"/>
      <w:rPr/>
    </w:pPr>
  </w:style>
  <w:style w:type="paragraph" w:customStyle="1" w:styleId="Para24">
    <w:name w:val="ParaAttribute24"/>
    <w:pPr>
      <w:spacing w:line="202" w:lineRule="exact"/>
      <w:jc w:val="left"/>
      <w:wordWrap w:val="false"/>
      <w:ind w:left="0"/>
      <w:widowControl w:val="false"/>
      <w:rPr/>
    </w:pPr>
  </w:style>
  <w:style w:type="paragraph" w:customStyle="1" w:styleId="Para25">
    <w:name w:val="ParaAttribute25"/>
    <w:pPr>
      <w:spacing w:line="931" w:lineRule="exact"/>
      <w:jc w:val="left"/>
      <w:wordWrap w:val="false"/>
      <w:ind w:left="0"/>
      <w:widowControl w:val="false"/>
      <w:rPr/>
    </w:pPr>
  </w:style>
  <w:style w:type="paragraph" w:customStyle="1" w:styleId="Para26">
    <w:name w:val="ParaAttribute26"/>
    <w:pPr>
      <w:spacing w:line="302" w:lineRule="exact"/>
      <w:jc w:val="left"/>
      <w:wordWrap w:val="false"/>
      <w:ind w:left="0"/>
      <w:widowControl w:val="false"/>
      <w:rPr/>
    </w:pPr>
  </w:style>
  <w:style w:type="paragraph" w:customStyle="1" w:styleId="Para27">
    <w:name w:val="ParaAttribute27"/>
    <w:pPr>
      <w:spacing w:line="124" w:lineRule="exact"/>
      <w:jc w:val="left"/>
      <w:wordWrap w:val="false"/>
      <w:ind w:left="0"/>
      <w:widowControl w:val="false"/>
      <w:rPr/>
    </w:pPr>
  </w:style>
  <w:style w:type="paragraph" w:customStyle="1" w:styleId="Para28">
    <w:name w:val="ParaAttribute28"/>
    <w:pPr>
      <w:spacing w:line="1036" w:lineRule="exact"/>
      <w:jc w:val="left"/>
      <w:wordWrap w:val="false"/>
      <w:ind w:left="0"/>
      <w:widowControl w:val="false"/>
      <w:rPr/>
    </w:pPr>
  </w:style>
  <w:style w:type="paragraph" w:customStyle="1" w:styleId="Para29">
    <w:name w:val="ParaAttribute29"/>
    <w:pPr>
      <w:spacing w:line="312" w:lineRule="exact"/>
      <w:jc w:val="left"/>
      <w:wordWrap w:val="false"/>
      <w:ind w:left="0"/>
      <w:widowControl w:val="false"/>
      <w:rPr/>
    </w:pPr>
  </w:style>
  <w:style w:type="paragraph" w:customStyle="1" w:styleId="Para30">
    <w:name w:val="ParaAttribute30"/>
    <w:pPr>
      <w:spacing w:line="220" w:lineRule="exact"/>
      <w:jc w:val="left"/>
      <w:wordWrap w:val="false"/>
      <w:ind w:left="0"/>
      <w:widowControl w:val="false"/>
      <w:rPr/>
    </w:pPr>
  </w:style>
  <w:style w:type="paragraph" w:customStyle="1" w:styleId="Para31">
    <w:name w:val="ParaAttribute31"/>
    <w:pPr>
      <w:spacing w:line="926" w:lineRule="exact"/>
      <w:jc w:val="left"/>
      <w:wordWrap w:val="false"/>
      <w:ind w:left="0"/>
      <w:widowControl w:val="false"/>
      <w:rPr/>
    </w:pPr>
  </w:style>
  <w:style w:type="paragraph" w:customStyle="1" w:styleId="Para32">
    <w:name w:val="ParaAttribute32"/>
    <w:pPr>
      <w:spacing w:line="129" w:lineRule="exact"/>
      <w:jc w:val="left"/>
      <w:wordWrap w:val="false"/>
      <w:ind w:left="0"/>
      <w:widowControl w:val="false"/>
      <w:rPr/>
    </w:pPr>
  </w:style>
  <w:style w:type="paragraph" w:customStyle="1" w:styleId="Para33">
    <w:name w:val="ParaAttribute33"/>
    <w:pPr>
      <w:spacing w:line="264" w:lineRule="exact"/>
      <w:jc w:val="left"/>
      <w:wordWrap w:val="false"/>
      <w:ind w:left="0"/>
      <w:widowControl w:val="false"/>
      <w:rPr/>
    </w:pPr>
  </w:style>
  <w:style w:type="paragraph" w:customStyle="1" w:styleId="Para34">
    <w:name w:val="ParaAttribute34"/>
    <w:pPr>
      <w:spacing w:line="278" w:lineRule="exact"/>
      <w:jc w:val="left"/>
      <w:wordWrap w:val="false"/>
      <w:ind w:left="0"/>
      <w:widowControl w:val="false"/>
      <w:rPr/>
    </w:pPr>
  </w:style>
  <w:style w:type="paragraph" w:customStyle="1" w:styleId="Para35">
    <w:name w:val="ParaAttribute35"/>
    <w:pPr>
      <w:spacing w:line="633" w:lineRule="exact"/>
      <w:jc w:val="left"/>
      <w:wordWrap w:val="false"/>
      <w:ind w:left="0"/>
      <w:widowControl w:val="false"/>
      <w:rPr/>
    </w:pPr>
  </w:style>
  <w:style w:type="paragraph" w:customStyle="1" w:styleId="Para36">
    <w:name w:val="ParaAttribute36"/>
    <w:pPr>
      <w:spacing w:line="130" w:lineRule="exact"/>
      <w:jc w:val="left"/>
      <w:wordWrap w:val="false"/>
      <w:ind w:left="0"/>
      <w:widowControl w:val="false"/>
      <w:rPr/>
    </w:pPr>
  </w:style>
  <w:style w:type="paragraph" w:customStyle="1" w:styleId="Para37">
    <w:name w:val="ParaAttribute37"/>
    <w:pPr>
      <w:spacing w:line="658" w:lineRule="exact"/>
      <w:jc w:val="left"/>
      <w:wordWrap w:val="false"/>
      <w:ind w:left="0"/>
      <w:widowControl w:val="false"/>
      <w:rPr/>
    </w:pPr>
  </w:style>
  <w:style w:type="paragraph" w:customStyle="1" w:styleId="Para38">
    <w:name w:val="ParaAttribute38"/>
    <w:pPr>
      <w:spacing w:line="255" w:lineRule="exact"/>
      <w:jc w:val="left"/>
      <w:wordWrap w:val="false"/>
      <w:ind w:left="0"/>
      <w:widowControl w:val="false"/>
      <w:rPr/>
    </w:pPr>
  </w:style>
  <w:style w:type="paragraph" w:customStyle="1" w:styleId="Para39">
    <w:name w:val="ParaAttribute39"/>
    <w:pPr>
      <w:spacing w:line="1257" w:lineRule="exact"/>
      <w:jc w:val="left"/>
      <w:wordWrap w:val="false"/>
      <w:ind w:left="0"/>
      <w:widowControl w:val="false"/>
      <w:rPr/>
    </w:pPr>
  </w:style>
  <w:style w:type="paragraph" w:customStyle="1" w:styleId="Para40">
    <w:name w:val="ParaAttribute40"/>
    <w:pPr>
      <w:spacing w:line="936" w:lineRule="exact"/>
      <w:jc w:val="left"/>
      <w:wordWrap w:val="false"/>
      <w:ind w:left="0"/>
      <w:widowControl w:val="false"/>
      <w:rPr/>
    </w:pPr>
  </w:style>
  <w:style w:type="paragraph" w:customStyle="1" w:styleId="Para41">
    <w:name w:val="ParaAttribute41"/>
    <w:pPr>
      <w:spacing w:line="691" w:lineRule="exact"/>
      <w:jc w:val="left"/>
      <w:wordWrap w:val="false"/>
      <w:ind w:left="0"/>
      <w:widowControl w:val="false"/>
      <w:rPr/>
    </w:pPr>
  </w:style>
  <w:style w:type="paragraph" w:customStyle="1" w:styleId="Para42">
    <w:name w:val="ParaAttribute42"/>
    <w:pPr>
      <w:spacing w:line="120" w:lineRule="exact"/>
      <w:jc w:val="left"/>
      <w:wordWrap w:val="false"/>
      <w:ind w:left="0"/>
      <w:widowControl w:val="false"/>
      <w:rPr/>
    </w:pPr>
  </w:style>
  <w:style w:type="paragraph" w:customStyle="1" w:styleId="Para43">
    <w:name w:val="ParaAttribute43"/>
    <w:pPr>
      <w:spacing w:line="125" w:lineRule="exact"/>
      <w:jc w:val="left"/>
      <w:wordWrap w:val="false"/>
      <w:ind w:left="0"/>
      <w:widowControl w:val="false"/>
      <w:rPr/>
    </w:pPr>
  </w:style>
  <w:style w:type="paragraph" w:customStyle="1" w:styleId="Para44">
    <w:name w:val="ParaAttribute44"/>
    <w:pPr>
      <w:spacing w:line="797" w:lineRule="exact"/>
      <w:jc w:val="left"/>
      <w:wordWrap w:val="false"/>
      <w:ind w:left="0"/>
      <w:widowControl w:val="false"/>
      <w:rPr/>
    </w:pPr>
  </w:style>
  <w:style w:type="paragraph" w:customStyle="1" w:styleId="Para45">
    <w:name w:val="ParaAttribute45"/>
    <w:pPr>
      <w:spacing w:line="244" w:lineRule="exact"/>
      <w:jc w:val="left"/>
      <w:wordWrap w:val="false"/>
      <w:ind w:left="0"/>
      <w:widowControl w:val="false"/>
      <w:rPr/>
    </w:pPr>
  </w:style>
  <w:style w:type="paragraph" w:customStyle="1" w:styleId="Para46">
    <w:name w:val="ParaAttribute46"/>
    <w:pPr>
      <w:spacing w:line="653" w:lineRule="exact"/>
      <w:jc w:val="left"/>
      <w:wordWrap w:val="false"/>
      <w:ind w:left="0"/>
      <w:widowControl w:val="false"/>
      <w:rPr/>
    </w:pPr>
  </w:style>
  <w:style w:type="paragraph" w:customStyle="1" w:styleId="Para47">
    <w:name w:val="ParaAttribute47"/>
    <w:pPr>
      <w:spacing w:line="768" w:lineRule="exact"/>
      <w:jc w:val="left"/>
      <w:wordWrap w:val="false"/>
      <w:ind w:left="0"/>
      <w:widowControl w:val="false"/>
      <w:rPr/>
    </w:pPr>
  </w:style>
  <w:style w:type="paragraph" w:customStyle="1" w:styleId="Para48">
    <w:name w:val="ParaAttribute48"/>
    <w:pPr>
      <w:spacing w:line="682" w:lineRule="exact"/>
      <w:jc w:val="left"/>
      <w:wordWrap w:val="false"/>
      <w:ind w:left="0"/>
      <w:widowControl w:val="false"/>
      <w:rPr/>
    </w:pPr>
  </w:style>
  <w:style w:type="paragraph" w:customStyle="1" w:styleId="Para49">
    <w:name w:val="ParaAttribute49"/>
    <w:pPr>
      <w:spacing w:line="965" w:lineRule="exact"/>
      <w:jc w:val="left"/>
      <w:wordWrap w:val="false"/>
      <w:ind w:left="0"/>
      <w:widowControl w:val="false"/>
      <w:rPr/>
    </w:pPr>
  </w:style>
  <w:style w:type="paragraph" w:customStyle="1" w:styleId="Para50">
    <w:name w:val="ParaAttribute50"/>
    <w:pPr>
      <w:spacing w:line="1214" w:lineRule="exact"/>
      <w:jc w:val="left"/>
      <w:wordWrap w:val="false"/>
      <w:ind w:left="0"/>
      <w:widowControl w:val="false"/>
      <w:rPr/>
    </w:pPr>
  </w:style>
  <w:style w:type="paragraph" w:customStyle="1" w:styleId="Para51">
    <w:name w:val="ParaAttribute51"/>
    <w:pPr>
      <w:spacing w:line="10964" w:lineRule="exact"/>
      <w:jc w:val="left"/>
      <w:wordWrap w:val="false"/>
      <w:ind w:left="0"/>
      <w:widowControl w:val="false"/>
      <w:rPr/>
    </w:pPr>
  </w:style>
  <w:style w:type="character" w:customStyle="1" w:styleId="Character0">
    <w:name w:val="CharAttribute0"/>
    <w:rPr>
      <w:rFonts w:ascii="Arial" w:eastAsia="Arial" w:hAnsi="Arial"/>
      <w:sz w:val="19"/>
    </w:rPr>
  </w:style>
  <w:style w:type="character" w:customStyle="1" w:styleId="Character1">
    <w:name w:val="CharAttribute1"/>
    <w:rPr>
      <w:rFonts w:ascii="Palatino" w:eastAsia="Palatino" w:hAnsi="Palatino"/>
      <w:i/>
      <w:color w:val="333333"/>
      <w:sz w:val="22"/>
    </w:rPr>
  </w:style>
  <w:style w:type="character" w:customStyle="1" w:styleId="Character2">
    <w:name w:val="CharAttribute2"/>
    <w:rPr>
      <w:rFonts w:ascii="Palatino" w:eastAsia="Palatino" w:hAnsi="Palatino"/>
      <w:sz w:val="16"/>
    </w:rPr>
  </w:style>
  <w:style w:type="character" w:customStyle="1" w:styleId="Character3">
    <w:name w:val="CharAttribute3"/>
    <w:rPr>
      <w:rFonts w:ascii="Palatino" w:eastAsia="Palatino" w:hAnsi="Palatino"/>
      <w:i/>
      <w:sz w:val="16"/>
    </w:rPr>
  </w:style>
  <w:style w:type="character" w:customStyle="1" w:styleId="Character4">
    <w:name w:val="CharAttribute4"/>
    <w:rPr>
      <w:rFonts w:ascii="Palatino" w:eastAsia="Palatino" w:hAnsi="Palatino"/>
      <w:b/>
      <w:sz w:val="24"/>
    </w:rPr>
  </w:style>
  <w:style w:type="character" w:customStyle="1" w:styleId="Character5">
    <w:name w:val="CharAttribute5"/>
    <w:rPr>
      <w:rFonts w:ascii="Palatino" w:eastAsia="Palatino" w:hAnsi="Palatino"/>
      <w:sz w:val="22"/>
    </w:rPr>
  </w:style>
  <w:style w:type="character" w:customStyle="1" w:styleId="Character6">
    <w:name w:val="CharAttribute6"/>
    <w:rPr>
      <w:rFonts w:ascii="Palatino" w:eastAsia="Palatino" w:hAnsi="Palatino"/>
      <w:i/>
      <w:b/>
      <w:sz w:val="24"/>
    </w:rPr>
  </w:style>
  <w:style w:type="character" w:customStyle="1" w:styleId="Character7">
    <w:name w:val="CharAttribute7"/>
    <w:rPr>
      <w:rFonts w:ascii="Palatino" w:eastAsia="Palatino" w:hAnsi="Palatino"/>
      <w:sz w:val="24"/>
    </w:rPr>
  </w:style>
  <w:style w:type="character" w:customStyle="1" w:styleId="Character8">
    <w:name w:val="CharAttribute8"/>
    <w:rPr>
      <w:rFonts w:ascii="Palatino" w:eastAsia="Palatino" w:hAnsi="Palatino"/>
      <w:i/>
      <w:sz w:val="24"/>
    </w:rPr>
  </w:style>
  <w:style w:type="character" w:customStyle="1" w:styleId="Character9">
    <w:name w:val="CharAttribute9"/>
    <w:rPr>
      <w:rFonts w:ascii="Palatino" w:eastAsia="Palatino" w:hAnsi="Palatino"/>
      <w:sz w:val="19"/>
    </w:rPr>
  </w:style>
  <w:style w:type="character" w:customStyle="1" w:styleId="Character10">
    <w:name w:val="CharAttribute10"/>
    <w:rPr>
      <w:rFonts w:ascii="Palatino" w:eastAsia="Palatino" w:hAnsi="Palatino"/>
      <w:sz w:val="12"/>
    </w:rPr>
  </w:style>
  <w:style w:type="character" w:customStyle="1" w:styleId="Character11">
    <w:name w:val="CharAttribute11"/>
    <w:rPr>
      <w:rFonts w:ascii="Palatino" w:eastAsia="Palatino" w:hAnsi="Palatino"/>
      <w:b/>
      <w:sz w:val="19"/>
    </w:rPr>
  </w:style>
  <w:style w:type="character" w:customStyle="1" w:styleId="Character12">
    <w:name w:val="CharAttribute12"/>
    <w:rPr>
      <w:rFonts w:ascii="Palatino" w:eastAsia="Palatino" w:hAnsi="Palatino"/>
      <w:i/>
      <w:sz w:val="19"/>
    </w:rPr>
  </w:style>
  <w:style w:type="character" w:customStyle="1" w:styleId="Character13">
    <w:name w:val="CharAttribute13"/>
    <w:rPr>
      <w:rFonts w:ascii="Palatino" w:eastAsia="Palatino" w:hAnsi="Palatino"/>
      <w:sz w:val="18"/>
    </w:rPr>
  </w:style>
  <w:style w:type="character" w:customStyle="1" w:styleId="Character14">
    <w:name w:val="CharAttribute14"/>
    <w:rPr>
      <w:rFonts w:ascii="Palatino" w:eastAsia="Palatino" w:hAnsi="Palatino"/>
      <w:sz w:val="13"/>
    </w:rPr>
  </w:style>
  <w:style w:type="character" w:customStyle="1" w:styleId="Character15">
    <w:name w:val="CharAttribute15"/>
    <w:rPr>
      <w:rFonts w:ascii="Cambria" w:eastAsia="Cambria" w:hAnsi="Cambri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fImage1.jpeg"></Relationship><Relationship Id="rId6" Type="http://schemas.openxmlformats.org/officeDocument/2006/relationships/image" Target="media/fImage2.jpeg"></Relationship><Relationship Id="rId7" Type="http://schemas.openxmlformats.org/officeDocument/2006/relationships/image" Target="media/fImage3.jpeg"></Relationship><Relationship Id="rId8" Type="http://schemas.openxmlformats.org/officeDocument/2006/relationships/image" Target="media/fImage4.jpeg"></Relationship><Relationship Id="rId9" Type="http://schemas.openxmlformats.org/officeDocument/2006/relationships/image" Target="media/fImage5.jpeg"></Relationship><Relationship Id="rId10" Type="http://schemas.openxmlformats.org/officeDocument/2006/relationships/image" Target="media/fImage6.jpeg"></Relationship><Relationship Id="rId11" Type="http://schemas.openxmlformats.org/officeDocument/2006/relationships/image" Target="media/fImage7.jpeg"></Relationship><Relationship Id="rId12" Type="http://schemas.openxmlformats.org/officeDocument/2006/relationships/image" Target="media/fImage8.jpeg"></Relationship><Relationship Id="rId13" Type="http://schemas.openxmlformats.org/officeDocument/2006/relationships/image" Target="media/fImage9.jpeg"></Relationship><Relationship Id="rId14" Type="http://schemas.openxmlformats.org/officeDocument/2006/relationships/image" Target="media/fImage10.jpeg"></Relationship><Relationship Id="rId15" Type="http://schemas.openxmlformats.org/officeDocument/2006/relationships/image" Target="media/fImage11.jpeg"></Relationship><Relationship Id="rId16" Type="http://schemas.openxmlformats.org/officeDocument/2006/relationships/image" Target="media/fImage12.jpeg"></Relationship><Relationship Id="rId17" Type="http://schemas.openxmlformats.org/officeDocument/2006/relationships/image" Target="media/fImage13.jpeg"></Relationship><Relationship Id="rId18" Type="http://schemas.openxmlformats.org/officeDocument/2006/relationships/image" Target="media/fImage14.jpeg"></Relationship><Relationship Id="rId19" Type="http://schemas.openxmlformats.org/officeDocument/2006/relationships/image" Target="media/fImage15.jpeg"></Relationship><Relationship Id="rId20" Type="http://schemas.openxmlformats.org/officeDocument/2006/relationships/image" Target="media/fImage16.jpeg"></Relationship><Relationship Id="rId21" Type="http://schemas.openxmlformats.org/officeDocument/2006/relationships/image" Target="media/fImage17.jpeg"></Relationship><Relationship Id="rId22" Type="http://schemas.openxmlformats.org/officeDocument/2006/relationships/image" Target="media/fImage18.jpeg"></Relationship><Relationship Id="rId23" Type="http://schemas.openxmlformats.org/officeDocument/2006/relationships/image" Target="media/fImage19.jpeg"></Relationship><Relationship Id="rId24" Type="http://schemas.openxmlformats.org/officeDocument/2006/relationships/image" Target="media/fImage20.jpeg"></Relationship><Relationship Id="rId25" Type="http://schemas.openxmlformats.org/officeDocument/2006/relationships/image" Target="media/fImage21.jpeg"></Relationship><Relationship Id="rId26" Type="http://schemas.openxmlformats.org/officeDocument/2006/relationships/image" Target="media/fImage22.jpeg"></Relationship><Relationship Id="rId27" Type="http://schemas.openxmlformats.org/officeDocument/2006/relationships/image" Target="media/fImage23.jpeg"></Relationship><Relationship Id="rId28" Type="http://schemas.openxmlformats.org/officeDocument/2006/relationships/image" Target="media/fImage24.jpeg"></Relationship><Relationship Id="rId29" Type="http://schemas.openxmlformats.org/officeDocument/2006/relationships/image" Target="media/fImage25.jpeg"></Relationship><Relationship Id="rId30" Type="http://schemas.openxmlformats.org/officeDocument/2006/relationships/image" Target="media/fImage26.jpeg"></Relationship><Relationship Id="rId31" Type="http://schemas.openxmlformats.org/officeDocument/2006/relationships/image" Target="media/fImage27.jpeg"></Relationship><Relationship Id="rId32" Type="http://schemas.openxmlformats.org/officeDocument/2006/relationships/image" Target="media/fImage28.jpeg"></Relationship><Relationship Id="rId33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Gulim"/>
        <a:ea typeface=""/>
        <a:cs typeface=""/>
        <a:font script="Jpan" typeface="MS PGothic"/>
        <a:font script="Hang" typeface="Gulim"/>
        <a:font script="Hant" typeface="SimSun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Oox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ulim"/>
        <a:ea typeface=""/>
        <a:cs typeface=""/>
        <a:font script="Jpan" typeface="MS PGothic"/>
        <a:font script="Hang" typeface="Gulim"/>
        <a:font script="Hant" typeface="SimSun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0</Words>
  <Characters>0</Characters>
  <Lines>1</Lines>
  <Paragraphs>1</Paragraph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Company>PDFConverter, Inc.</Company>
  <LinksUpToDate>false</LinksUpToDate>
  <CharactersWithSpaces>0</CharactersWithSpaces>
  <SharedDoc>false</SharedDoc>
  <HyperlinksChanged>false</HyperlinksChanged>
  <Application>PDF Converter</Application>
  <AppVersion>12.0000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revision>2</cp:revision>
  <dcterms:created xsi:type="dcterms:W3CDTF">2012-08-21T07:17:39Z</dcterms:created>
  <dcterms:modified xsi:type="dcterms:W3CDTF">2012-08-21T07:17:39Z</dcterms:modified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